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9D0B" w14:textId="041C264F" w:rsidR="00B91EEE" w:rsidRPr="00B91EEE" w:rsidRDefault="00D27958" w:rsidP="00B91EEE">
      <w:pPr>
        <w:rPr>
          <w:u w:val="single"/>
          <w:lang w:val="de-DE"/>
        </w:rPr>
      </w:pPr>
      <w:r>
        <w:rPr>
          <w:u w:val="single"/>
          <w:lang w:val="de-DE"/>
        </w:rPr>
        <w:br/>
      </w:r>
      <w:r w:rsidR="00B91EEE" w:rsidRPr="00B91EEE">
        <w:rPr>
          <w:u w:val="single"/>
          <w:lang w:val="de-DE"/>
        </w:rPr>
        <w:t xml:space="preserve">25-jährige Systemgarantie auf End-to-End-Netzwerkkonzept </w:t>
      </w:r>
      <w:r w:rsidR="00B91EEE">
        <w:rPr>
          <w:u w:val="single"/>
          <w:lang w:val="de-DE"/>
        </w:rPr>
        <w:br/>
      </w:r>
    </w:p>
    <w:p w14:paraId="4AAA31A0" w14:textId="6F3B8B2F" w:rsidR="00B91EEE" w:rsidRDefault="00B91EEE" w:rsidP="00B91EEE">
      <w:pPr>
        <w:spacing w:line="360" w:lineRule="auto"/>
        <w:rPr>
          <w:b/>
          <w:bCs/>
          <w:lang w:val="de-DE"/>
        </w:rPr>
      </w:pPr>
      <w:r w:rsidRPr="2087549D">
        <w:rPr>
          <w:b/>
          <w:bCs/>
          <w:sz w:val="32"/>
          <w:szCs w:val="32"/>
          <w:lang w:val="de-DE"/>
        </w:rPr>
        <w:t xml:space="preserve">Microfocus von </w:t>
      </w:r>
      <w:r w:rsidR="00792CCF" w:rsidRPr="2087549D">
        <w:rPr>
          <w:b/>
          <w:bCs/>
          <w:sz w:val="32"/>
          <w:szCs w:val="32"/>
          <w:lang w:val="de-DE"/>
        </w:rPr>
        <w:t>Amadys</w:t>
      </w:r>
      <w:r w:rsidRPr="2087549D">
        <w:rPr>
          <w:b/>
          <w:bCs/>
          <w:sz w:val="32"/>
          <w:szCs w:val="32"/>
          <w:lang w:val="de-DE"/>
        </w:rPr>
        <w:t xml:space="preserve">: Sechs modulare Bausteine für das maßgeschneiderte FttX-Netzwerk </w:t>
      </w:r>
      <w:r w:rsidRPr="00CC7CF1">
        <w:rPr>
          <w:lang w:val="de-DE"/>
        </w:rPr>
        <w:br/>
      </w:r>
      <w:r w:rsidRPr="2087549D">
        <w:rPr>
          <w:b/>
          <w:bCs/>
          <w:lang w:val="de-DE"/>
        </w:rPr>
        <w:t>Freche</w:t>
      </w:r>
      <w:r w:rsidRPr="00C2025C">
        <w:rPr>
          <w:b/>
          <w:bCs/>
          <w:lang w:val="de-DE"/>
        </w:rPr>
        <w:t xml:space="preserve">n, </w:t>
      </w:r>
      <w:r w:rsidR="00667D64">
        <w:rPr>
          <w:b/>
          <w:bCs/>
          <w:lang w:val="de-DE"/>
        </w:rPr>
        <w:t>2</w:t>
      </w:r>
      <w:r w:rsidR="006E4207">
        <w:rPr>
          <w:b/>
          <w:bCs/>
          <w:lang w:val="de-DE"/>
        </w:rPr>
        <w:t>5</w:t>
      </w:r>
      <w:r w:rsidRPr="00C2025C">
        <w:rPr>
          <w:b/>
          <w:bCs/>
          <w:lang w:val="de-DE"/>
        </w:rPr>
        <w:t xml:space="preserve">. </w:t>
      </w:r>
      <w:r w:rsidR="006E5A19" w:rsidRPr="00C2025C">
        <w:rPr>
          <w:b/>
          <w:bCs/>
          <w:lang w:val="de-DE"/>
        </w:rPr>
        <w:t>Oktober</w:t>
      </w:r>
      <w:r w:rsidRPr="2087549D">
        <w:rPr>
          <w:b/>
          <w:bCs/>
          <w:lang w:val="de-DE"/>
        </w:rPr>
        <w:t xml:space="preserve"> 2022. Mit </w:t>
      </w:r>
      <w:r w:rsidR="00792CCF">
        <w:rPr>
          <w:b/>
          <w:bCs/>
          <w:lang w:val="de-DE"/>
        </w:rPr>
        <w:t>M</w:t>
      </w:r>
      <w:r w:rsidRPr="2087549D">
        <w:rPr>
          <w:b/>
          <w:bCs/>
          <w:lang w:val="de-DE"/>
        </w:rPr>
        <w:t xml:space="preserve">icrofocus bringt die </w:t>
      </w:r>
      <w:r w:rsidR="00792CCF">
        <w:rPr>
          <w:b/>
          <w:bCs/>
          <w:lang w:val="de-DE"/>
        </w:rPr>
        <w:t>A</w:t>
      </w:r>
      <w:r w:rsidRPr="2087549D">
        <w:rPr>
          <w:b/>
          <w:bCs/>
          <w:lang w:val="de-DE"/>
        </w:rPr>
        <w:t xml:space="preserve">madys ein Komplettsystem an FttX-Konnektivitätslösungen für den erfolgreichen Glasfaserausbau auf den Markt. Das aus sechs Bausteinen, sogenannten Building blocks, bestehende System kombiniert modulare und vorkonfektionierte Elemente. Der End-to-End-Systemintegrator hat </w:t>
      </w:r>
      <w:r w:rsidR="00792CCF">
        <w:rPr>
          <w:b/>
          <w:bCs/>
          <w:lang w:val="de-DE"/>
        </w:rPr>
        <w:t>M</w:t>
      </w:r>
      <w:r w:rsidRPr="2087549D">
        <w:rPr>
          <w:b/>
          <w:bCs/>
          <w:lang w:val="de-DE"/>
        </w:rPr>
        <w:t xml:space="preserve">icrofocus flexibel konzipiert: Je nach Geschäftsszenario und Anforderungen seiner Kunden ermittelt </w:t>
      </w:r>
      <w:r w:rsidR="00792CCF" w:rsidRPr="2087549D">
        <w:rPr>
          <w:b/>
          <w:bCs/>
          <w:lang w:val="de-DE"/>
        </w:rPr>
        <w:t>Amadys</w:t>
      </w:r>
      <w:r w:rsidRPr="2087549D">
        <w:rPr>
          <w:b/>
          <w:bCs/>
          <w:lang w:val="de-DE"/>
        </w:rPr>
        <w:t xml:space="preserve"> den passenden Modul-Mix und stellt die Bausteine maßgeschneidert zusammen. Das Ergebnis sind hochwertige, zuverlässige und passgenaue End-to-</w:t>
      </w:r>
      <w:r w:rsidR="6547922D" w:rsidRPr="2087549D">
        <w:rPr>
          <w:b/>
          <w:bCs/>
          <w:lang w:val="de-DE"/>
        </w:rPr>
        <w:t>E</w:t>
      </w:r>
      <w:r w:rsidRPr="2087549D">
        <w:rPr>
          <w:b/>
          <w:bCs/>
          <w:lang w:val="de-DE"/>
        </w:rPr>
        <w:t>nd-Glasfasernetzwerke</w:t>
      </w:r>
      <w:r w:rsidR="00FB70CD">
        <w:rPr>
          <w:b/>
          <w:bCs/>
          <w:lang w:val="de-DE"/>
        </w:rPr>
        <w:t xml:space="preserve"> auf die Amadys-Endkunden eine 25-jährige Systemgarantie erhalten</w:t>
      </w:r>
      <w:r w:rsidRPr="2087549D">
        <w:rPr>
          <w:b/>
          <w:bCs/>
          <w:lang w:val="de-DE"/>
        </w:rPr>
        <w:t xml:space="preserve">. </w:t>
      </w:r>
    </w:p>
    <w:p w14:paraId="04E50914" w14:textId="334A7D9F" w:rsidR="006E5A19" w:rsidRDefault="00E75FD6" w:rsidP="00B91EEE">
      <w:pPr>
        <w:spacing w:line="360" w:lineRule="auto"/>
        <w:rPr>
          <w:lang w:val="de-DE"/>
        </w:rPr>
      </w:pPr>
      <w:r>
        <w:rPr>
          <w:lang w:val="de-DE"/>
        </w:rPr>
        <w:br/>
      </w:r>
      <w:r w:rsidR="00B91EEE" w:rsidRPr="2087549D">
        <w:rPr>
          <w:lang w:val="de-DE"/>
        </w:rPr>
        <w:t xml:space="preserve">Mit dem </w:t>
      </w:r>
      <w:r w:rsidR="00792CCF">
        <w:rPr>
          <w:lang w:val="de-DE"/>
        </w:rPr>
        <w:t>M</w:t>
      </w:r>
      <w:r w:rsidR="00B91EEE" w:rsidRPr="2087549D">
        <w:rPr>
          <w:lang w:val="de-DE"/>
        </w:rPr>
        <w:t xml:space="preserve">icrofocus-Konzept stellt die </w:t>
      </w:r>
      <w:r w:rsidR="00792CCF" w:rsidRPr="2087549D">
        <w:rPr>
          <w:lang w:val="de-DE"/>
        </w:rPr>
        <w:t>Amadys</w:t>
      </w:r>
      <w:r w:rsidR="00B91EEE" w:rsidRPr="2087549D">
        <w:rPr>
          <w:lang w:val="de-DE"/>
        </w:rPr>
        <w:t xml:space="preserve"> für jede der unterschiedlichen FttX-Ausbauphasen passende Lösungen bereit. Das modulare Baukastensystem setzt sich aus vorkonfektionierte</w:t>
      </w:r>
      <w:r w:rsidR="00D27958" w:rsidRPr="2087549D">
        <w:rPr>
          <w:lang w:val="de-DE"/>
        </w:rPr>
        <w:t>n</w:t>
      </w:r>
      <w:r w:rsidR="00B91EEE" w:rsidRPr="2087549D">
        <w:rPr>
          <w:lang w:val="de-DE"/>
        </w:rPr>
        <w:t xml:space="preserve"> PoPs, Schutzrohre</w:t>
      </w:r>
      <w:r w:rsidR="00D27958" w:rsidRPr="2087549D">
        <w:rPr>
          <w:lang w:val="de-DE"/>
        </w:rPr>
        <w:t>n</w:t>
      </w:r>
      <w:r w:rsidR="00B91EEE" w:rsidRPr="2087549D">
        <w:rPr>
          <w:lang w:val="de-DE"/>
        </w:rPr>
        <w:t>, Zuleitungskabel</w:t>
      </w:r>
      <w:r w:rsidR="24576795" w:rsidRPr="2087549D">
        <w:rPr>
          <w:lang w:val="de-DE"/>
        </w:rPr>
        <w:t>n</w:t>
      </w:r>
      <w:r w:rsidR="00B91EEE" w:rsidRPr="2087549D">
        <w:rPr>
          <w:lang w:val="de-DE"/>
        </w:rPr>
        <w:t>, Verteilpunkte</w:t>
      </w:r>
      <w:r w:rsidR="00D27958" w:rsidRPr="2087549D">
        <w:rPr>
          <w:lang w:val="de-DE"/>
        </w:rPr>
        <w:t>n</w:t>
      </w:r>
      <w:r w:rsidR="00B91EEE" w:rsidRPr="2087549D">
        <w:rPr>
          <w:lang w:val="de-DE"/>
        </w:rPr>
        <w:t>, Anschlusslösungen und Hausanschlüsse</w:t>
      </w:r>
      <w:r w:rsidR="00D27958" w:rsidRPr="2087549D">
        <w:rPr>
          <w:lang w:val="de-DE"/>
        </w:rPr>
        <w:t>n</w:t>
      </w:r>
      <w:r w:rsidR="00B91EEE" w:rsidRPr="2087549D">
        <w:rPr>
          <w:lang w:val="de-DE"/>
        </w:rPr>
        <w:t xml:space="preserve"> zusammen. Doch das Konzept umfasst mehr: „Microfocus ist eine Gesamtlösung, die wir mit Blick auf den Investitionsschutz des Assets „Glasfaser</w:t>
      </w:r>
      <w:r w:rsidR="00CC7CF1">
        <w:rPr>
          <w:lang w:val="de-DE"/>
        </w:rPr>
        <w:t>n</w:t>
      </w:r>
      <w:r w:rsidR="00B91EEE" w:rsidRPr="2087549D">
        <w:rPr>
          <w:lang w:val="de-DE"/>
        </w:rPr>
        <w:t>etzwerke“ entwickelt haben“, sagt Lars Willemsen</w:t>
      </w:r>
      <w:r w:rsidR="00B91EEE" w:rsidRPr="006E5A19">
        <w:rPr>
          <w:lang w:val="de-DE"/>
        </w:rPr>
        <w:t xml:space="preserve">, </w:t>
      </w:r>
      <w:r w:rsidR="006E5A19" w:rsidRPr="006E5A19">
        <w:rPr>
          <w:lang w:val="de-DE"/>
        </w:rPr>
        <w:t xml:space="preserve">Vice President Telecom Niederlande bei </w:t>
      </w:r>
      <w:r w:rsidR="00792CCF">
        <w:rPr>
          <w:lang w:val="de-DE"/>
        </w:rPr>
        <w:t>A</w:t>
      </w:r>
      <w:r w:rsidR="00B91EEE" w:rsidRPr="006E5A19">
        <w:rPr>
          <w:lang w:val="de-DE"/>
        </w:rPr>
        <w:t xml:space="preserve">madys und </w:t>
      </w:r>
      <w:r w:rsidR="00792CCF">
        <w:rPr>
          <w:lang w:val="de-DE"/>
        </w:rPr>
        <w:t>M</w:t>
      </w:r>
      <w:r w:rsidR="006E5A19" w:rsidRPr="006E5A19">
        <w:rPr>
          <w:lang w:val="de-DE"/>
        </w:rPr>
        <w:t>icrofocus-</w:t>
      </w:r>
      <w:r w:rsidR="00B91EEE" w:rsidRPr="006E5A19">
        <w:rPr>
          <w:lang w:val="de-DE"/>
        </w:rPr>
        <w:t>Experte. „Neben qualitativ hochwertig</w:t>
      </w:r>
      <w:r w:rsidR="00B91EEE" w:rsidRPr="2087549D">
        <w:rPr>
          <w:lang w:val="de-DE"/>
        </w:rPr>
        <w:t xml:space="preserve">en Produkten, die die hohen Anforderungen unseres </w:t>
      </w:r>
      <w:r w:rsidR="00792CCF">
        <w:rPr>
          <w:lang w:val="de-DE"/>
        </w:rPr>
        <w:t>M</w:t>
      </w:r>
      <w:r w:rsidR="00B91EEE" w:rsidRPr="2087549D">
        <w:rPr>
          <w:lang w:val="de-DE"/>
        </w:rPr>
        <w:t xml:space="preserve">icrofocus-Systems erfüllen müssen, schulen wir </w:t>
      </w:r>
      <w:r w:rsidR="0052780C" w:rsidRPr="2087549D">
        <w:rPr>
          <w:lang w:val="de-DE"/>
        </w:rPr>
        <w:t xml:space="preserve">Unternehmen und Subunternehmen </w:t>
      </w:r>
      <w:r w:rsidR="00B91EEE" w:rsidRPr="2087549D">
        <w:rPr>
          <w:lang w:val="de-DE"/>
        </w:rPr>
        <w:t>gezielt im Umgang mit den FttX-Lösungen. So stellen wir sicher, dass unsere Kunden ein hochmodernes und einwandfrei funktionierendes Glasfasernetz erhalten, auf das wir eine 25-jährige Systemgarantie geben können</w:t>
      </w:r>
      <w:r w:rsidR="0052780C" w:rsidRPr="2087549D">
        <w:rPr>
          <w:lang w:val="de-DE"/>
        </w:rPr>
        <w:t>.</w:t>
      </w:r>
      <w:r w:rsidR="00B91EEE" w:rsidRPr="2087549D">
        <w:rPr>
          <w:lang w:val="de-DE"/>
        </w:rPr>
        <w:t xml:space="preserve">“ </w:t>
      </w:r>
    </w:p>
    <w:p w14:paraId="00772FC6" w14:textId="77777777" w:rsidR="006E5A19" w:rsidRPr="006E06B5" w:rsidRDefault="006E5A19" w:rsidP="00B91EEE">
      <w:pPr>
        <w:spacing w:line="360" w:lineRule="auto"/>
        <w:rPr>
          <w:lang w:val="de-DE"/>
        </w:rPr>
      </w:pPr>
    </w:p>
    <w:p w14:paraId="385606DA" w14:textId="77777777" w:rsidR="00DC2877" w:rsidRDefault="00D05341" w:rsidP="00B91EEE">
      <w:pPr>
        <w:spacing w:line="360" w:lineRule="auto"/>
        <w:rPr>
          <w:lang w:val="de-DE"/>
        </w:rPr>
      </w:pPr>
      <w:r w:rsidRPr="2087549D">
        <w:rPr>
          <w:i/>
          <w:iCs/>
          <w:lang w:val="de-DE"/>
        </w:rPr>
        <w:t xml:space="preserve">Erfolgreicherer Netzausbau mit One-Stop-Shopping </w:t>
      </w:r>
      <w:r w:rsidR="00B91EEE" w:rsidRPr="00CC7CF1">
        <w:rPr>
          <w:lang w:val="de-DE"/>
        </w:rPr>
        <w:br/>
      </w:r>
      <w:r w:rsidR="00B91EEE" w:rsidRPr="2087549D">
        <w:rPr>
          <w:lang w:val="de-DE"/>
        </w:rPr>
        <w:t>Das erweist sich als großer Vorteil für alle am Glasfaserausbau Beteiligten: Zwar geben Hersteller Garantie</w:t>
      </w:r>
      <w:r w:rsidR="00224907" w:rsidRPr="2087549D">
        <w:rPr>
          <w:lang w:val="de-DE"/>
        </w:rPr>
        <w:t xml:space="preserve"> </w:t>
      </w:r>
      <w:r w:rsidR="00B91EEE" w:rsidRPr="2087549D">
        <w:rPr>
          <w:lang w:val="de-DE"/>
        </w:rPr>
        <w:t xml:space="preserve">auf einzelne FttX-Komponenten, doch </w:t>
      </w:r>
      <w:r w:rsidR="00FB70CD">
        <w:rPr>
          <w:lang w:val="de-DE"/>
        </w:rPr>
        <w:t xml:space="preserve">das garantiert nicht, </w:t>
      </w:r>
      <w:r w:rsidR="00B91EEE" w:rsidRPr="2087549D">
        <w:rPr>
          <w:lang w:val="de-DE"/>
        </w:rPr>
        <w:t>dass diese auch untereinander passen</w:t>
      </w:r>
      <w:r w:rsidR="00B91EEE" w:rsidRPr="00B91EEE">
        <w:rPr>
          <w:lang w:val="de-DE"/>
        </w:rPr>
        <w:t xml:space="preserve">, sodass das Gesamtsystem zusammenspielen kann. Genau dies sichert die </w:t>
      </w:r>
      <w:r w:rsidR="00052B27" w:rsidRPr="00B91EEE">
        <w:rPr>
          <w:lang w:val="de-DE"/>
        </w:rPr>
        <w:t>Amadys</w:t>
      </w:r>
      <w:r w:rsidR="00B91EEE" w:rsidRPr="00B91EEE">
        <w:rPr>
          <w:lang w:val="de-DE"/>
        </w:rPr>
        <w:t xml:space="preserve"> mit ihrem modularen </w:t>
      </w:r>
    </w:p>
    <w:p w14:paraId="72B8E42C" w14:textId="77777777" w:rsidR="00DC2877" w:rsidRDefault="00DC2877" w:rsidP="00B91EEE">
      <w:pPr>
        <w:spacing w:line="360" w:lineRule="auto"/>
        <w:rPr>
          <w:lang w:val="de-DE"/>
        </w:rPr>
      </w:pPr>
    </w:p>
    <w:p w14:paraId="0DC4B41C" w14:textId="5751A878" w:rsidR="0075180F" w:rsidRPr="00FB70CD" w:rsidRDefault="00B91EEE" w:rsidP="00B91EEE">
      <w:pPr>
        <w:spacing w:line="360" w:lineRule="auto"/>
        <w:rPr>
          <w:lang w:val="de-DE"/>
        </w:rPr>
      </w:pPr>
      <w:r w:rsidRPr="00B91EEE">
        <w:rPr>
          <w:lang w:val="de-DE"/>
        </w:rPr>
        <w:t xml:space="preserve">Baukastenprinzip </w:t>
      </w:r>
      <w:r w:rsidR="00052B27">
        <w:rPr>
          <w:lang w:val="de-DE"/>
        </w:rPr>
        <w:t>M</w:t>
      </w:r>
      <w:r w:rsidRPr="00B91EEE">
        <w:rPr>
          <w:lang w:val="de-DE"/>
        </w:rPr>
        <w:t>icrofocus ab. Hinzu kommt: Der Systemintegrator deckt auch die Logistikplanung und Materiallogistik über den gesamten Projektverlauf ab, adaptiert bestehende Produkte</w:t>
      </w:r>
      <w:r w:rsidR="00FB70CD">
        <w:rPr>
          <w:lang w:val="de-DE"/>
        </w:rPr>
        <w:t xml:space="preserve"> </w:t>
      </w:r>
      <w:r w:rsidRPr="00B91EEE">
        <w:rPr>
          <w:lang w:val="de-DE"/>
        </w:rPr>
        <w:t xml:space="preserve">und bietet so </w:t>
      </w:r>
      <w:r w:rsidR="00FB70CD">
        <w:rPr>
          <w:lang w:val="de-DE"/>
        </w:rPr>
        <w:t xml:space="preserve">echtes </w:t>
      </w:r>
      <w:r w:rsidRPr="00B91EEE">
        <w:rPr>
          <w:lang w:val="de-DE"/>
        </w:rPr>
        <w:t xml:space="preserve">One-Stop-Shopping aus einer Hand. </w:t>
      </w:r>
      <w:r w:rsidR="006E06B5">
        <w:rPr>
          <w:lang w:val="de-DE"/>
        </w:rPr>
        <w:br/>
      </w:r>
      <w:r w:rsidR="00D27958">
        <w:rPr>
          <w:i/>
          <w:iCs/>
          <w:lang w:val="de-DE"/>
        </w:rPr>
        <w:br/>
      </w:r>
      <w:r w:rsidR="00007A83" w:rsidRPr="00D27958">
        <w:rPr>
          <w:i/>
          <w:iCs/>
          <w:lang w:val="de-DE"/>
        </w:rPr>
        <w:t>Inv</w:t>
      </w:r>
      <w:r w:rsidR="00D27958" w:rsidRPr="00D27958">
        <w:rPr>
          <w:i/>
          <w:iCs/>
          <w:lang w:val="de-DE"/>
        </w:rPr>
        <w:t>e</w:t>
      </w:r>
      <w:r w:rsidR="00007A83" w:rsidRPr="00D27958">
        <w:rPr>
          <w:i/>
          <w:iCs/>
          <w:lang w:val="de-DE"/>
        </w:rPr>
        <w:t>s</w:t>
      </w:r>
      <w:r w:rsidR="00D27958" w:rsidRPr="00D27958">
        <w:rPr>
          <w:i/>
          <w:iCs/>
          <w:lang w:val="de-DE"/>
        </w:rPr>
        <w:t>t</w:t>
      </w:r>
      <w:r w:rsidR="00007A83" w:rsidRPr="00D27958">
        <w:rPr>
          <w:i/>
          <w:iCs/>
          <w:lang w:val="de-DE"/>
        </w:rPr>
        <w:t>itions</w:t>
      </w:r>
      <w:r w:rsidR="00D27958" w:rsidRPr="00D27958">
        <w:rPr>
          <w:i/>
          <w:iCs/>
          <w:lang w:val="de-DE"/>
        </w:rPr>
        <w:t>s</w:t>
      </w:r>
      <w:r w:rsidR="00007A83" w:rsidRPr="00D27958">
        <w:rPr>
          <w:i/>
          <w:iCs/>
          <w:lang w:val="de-DE"/>
        </w:rPr>
        <w:t>icher</w:t>
      </w:r>
      <w:r w:rsidR="00D27958" w:rsidRPr="00D27958">
        <w:rPr>
          <w:i/>
          <w:iCs/>
          <w:lang w:val="de-DE"/>
        </w:rPr>
        <w:t>he</w:t>
      </w:r>
      <w:r w:rsidR="00007A83" w:rsidRPr="00D27958">
        <w:rPr>
          <w:i/>
          <w:iCs/>
          <w:lang w:val="de-DE"/>
        </w:rPr>
        <w:t>it d</w:t>
      </w:r>
      <w:r w:rsidR="00D27958">
        <w:rPr>
          <w:i/>
          <w:iCs/>
          <w:lang w:val="de-DE"/>
        </w:rPr>
        <w:t xml:space="preserve">ank </w:t>
      </w:r>
      <w:r w:rsidR="00D27958" w:rsidRPr="00D27958">
        <w:rPr>
          <w:i/>
          <w:iCs/>
          <w:lang w:val="de-DE"/>
        </w:rPr>
        <w:t>25-jährige</w:t>
      </w:r>
      <w:r w:rsidR="00D27958">
        <w:rPr>
          <w:i/>
          <w:iCs/>
          <w:lang w:val="de-DE"/>
        </w:rPr>
        <w:t>r</w:t>
      </w:r>
      <w:r w:rsidR="00D27958" w:rsidRPr="00D27958">
        <w:rPr>
          <w:i/>
          <w:iCs/>
          <w:lang w:val="de-DE"/>
        </w:rPr>
        <w:t xml:space="preserve"> Systemgarantie </w:t>
      </w:r>
    </w:p>
    <w:p w14:paraId="41E32A39" w14:textId="2B3A280F" w:rsidR="00B91EEE" w:rsidRDefault="00536525" w:rsidP="00B91EEE">
      <w:pPr>
        <w:spacing w:line="360" w:lineRule="auto"/>
        <w:rPr>
          <w:lang w:val="de-DE"/>
        </w:rPr>
      </w:pPr>
      <w:r>
        <w:rPr>
          <w:lang w:val="de-DE"/>
        </w:rPr>
        <w:t xml:space="preserve">Das </w:t>
      </w:r>
      <w:r w:rsidR="00FB70CD">
        <w:rPr>
          <w:lang w:val="de-DE"/>
        </w:rPr>
        <w:t xml:space="preserve">Garantiekonzept des </w:t>
      </w:r>
      <w:r w:rsidR="00052B27">
        <w:rPr>
          <w:lang w:val="de-DE"/>
        </w:rPr>
        <w:t>M</w:t>
      </w:r>
      <w:r w:rsidR="0052780C" w:rsidRPr="2087549D">
        <w:rPr>
          <w:lang w:val="de-DE"/>
        </w:rPr>
        <w:t>icrofocus-</w:t>
      </w:r>
      <w:r w:rsidR="00FB70CD">
        <w:rPr>
          <w:lang w:val="de-DE"/>
        </w:rPr>
        <w:t xml:space="preserve">Systems </w:t>
      </w:r>
      <w:r w:rsidR="0052780C" w:rsidRPr="2087549D">
        <w:rPr>
          <w:lang w:val="de-DE"/>
        </w:rPr>
        <w:t xml:space="preserve">beruht auf </w:t>
      </w:r>
      <w:r w:rsidR="00667D9B">
        <w:rPr>
          <w:lang w:val="de-DE"/>
        </w:rPr>
        <w:t>den folgenden Grundsätzen</w:t>
      </w:r>
      <w:r>
        <w:rPr>
          <w:lang w:val="de-DE"/>
        </w:rPr>
        <w:t xml:space="preserve">: </w:t>
      </w:r>
      <w:r w:rsidR="0052780C" w:rsidRPr="2087549D">
        <w:rPr>
          <w:lang w:val="de-DE"/>
        </w:rPr>
        <w:t>Alle FttX-Komponenten müssen mit- und unt</w:t>
      </w:r>
      <w:r w:rsidR="005F5B69" w:rsidRPr="2087549D">
        <w:rPr>
          <w:lang w:val="de-DE"/>
        </w:rPr>
        <w:t>e</w:t>
      </w:r>
      <w:r w:rsidR="0052780C" w:rsidRPr="2087549D">
        <w:rPr>
          <w:lang w:val="de-DE"/>
        </w:rPr>
        <w:t>reinander kompa</w:t>
      </w:r>
      <w:r w:rsidR="005F5B69" w:rsidRPr="2087549D">
        <w:rPr>
          <w:lang w:val="de-DE"/>
        </w:rPr>
        <w:t xml:space="preserve">tibel </w:t>
      </w:r>
      <w:r w:rsidR="0052780C" w:rsidRPr="2087549D">
        <w:rPr>
          <w:lang w:val="de-DE"/>
        </w:rPr>
        <w:t>sein</w:t>
      </w:r>
      <w:r w:rsidR="00CC7CF1">
        <w:rPr>
          <w:lang w:val="de-DE"/>
        </w:rPr>
        <w:t xml:space="preserve"> und </w:t>
      </w:r>
      <w:r w:rsidR="0052780C" w:rsidRPr="2087549D">
        <w:rPr>
          <w:lang w:val="de-DE"/>
        </w:rPr>
        <w:t xml:space="preserve">es dürfen nur </w:t>
      </w:r>
      <w:r w:rsidR="00052B27">
        <w:rPr>
          <w:lang w:val="de-DE"/>
        </w:rPr>
        <w:t>M</w:t>
      </w:r>
      <w:r w:rsidR="005F5B69" w:rsidRPr="2087549D">
        <w:rPr>
          <w:lang w:val="de-DE"/>
        </w:rPr>
        <w:t>icrofocus-geb</w:t>
      </w:r>
      <w:r w:rsidR="005C258B" w:rsidRPr="2087549D">
        <w:rPr>
          <w:lang w:val="de-DE"/>
        </w:rPr>
        <w:t>r</w:t>
      </w:r>
      <w:r w:rsidR="005F5B69" w:rsidRPr="2087549D">
        <w:rPr>
          <w:lang w:val="de-DE"/>
        </w:rPr>
        <w:t>andete Kompon</w:t>
      </w:r>
      <w:r w:rsidR="005C258B" w:rsidRPr="2087549D">
        <w:rPr>
          <w:lang w:val="de-DE"/>
        </w:rPr>
        <w:t>e</w:t>
      </w:r>
      <w:r w:rsidR="005F5B69" w:rsidRPr="2087549D">
        <w:rPr>
          <w:lang w:val="de-DE"/>
        </w:rPr>
        <w:t>nten verbaut werden</w:t>
      </w:r>
      <w:r w:rsidR="00CC7CF1">
        <w:rPr>
          <w:lang w:val="de-DE"/>
        </w:rPr>
        <w:t xml:space="preserve">, die den </w:t>
      </w:r>
      <w:r w:rsidR="005F5B69" w:rsidRPr="2087549D">
        <w:rPr>
          <w:lang w:val="de-DE"/>
        </w:rPr>
        <w:t xml:space="preserve">hohen Industrie- und Qualitätsstandards der </w:t>
      </w:r>
      <w:r w:rsidR="00052B27" w:rsidRPr="2087549D">
        <w:rPr>
          <w:lang w:val="de-DE"/>
        </w:rPr>
        <w:t>Amadys</w:t>
      </w:r>
      <w:r w:rsidR="005F5B69" w:rsidRPr="2087549D">
        <w:rPr>
          <w:lang w:val="de-DE"/>
        </w:rPr>
        <w:t xml:space="preserve"> entsprechen</w:t>
      </w:r>
      <w:r w:rsidR="00D05341" w:rsidRPr="2087549D">
        <w:rPr>
          <w:lang w:val="de-DE"/>
        </w:rPr>
        <w:t xml:space="preserve">. </w:t>
      </w:r>
      <w:r w:rsidR="00667D9B">
        <w:rPr>
          <w:lang w:val="de-DE"/>
        </w:rPr>
        <w:t>Darüber hinaus stellt Amadys (</w:t>
      </w:r>
      <w:r w:rsidR="005C258B" w:rsidRPr="2087549D">
        <w:rPr>
          <w:lang w:val="de-DE"/>
        </w:rPr>
        <w:t>Sub</w:t>
      </w:r>
      <w:r w:rsidR="00667D9B">
        <w:rPr>
          <w:lang w:val="de-DE"/>
        </w:rPr>
        <w:t>)-U</w:t>
      </w:r>
      <w:r w:rsidR="005C258B" w:rsidRPr="2087549D">
        <w:rPr>
          <w:lang w:val="de-DE"/>
        </w:rPr>
        <w:t>nternehmer</w:t>
      </w:r>
      <w:r w:rsidR="00667D9B">
        <w:rPr>
          <w:lang w:val="de-DE"/>
        </w:rPr>
        <w:t>n</w:t>
      </w:r>
      <w:r w:rsidR="00D05341" w:rsidRPr="2087549D">
        <w:rPr>
          <w:lang w:val="de-DE"/>
        </w:rPr>
        <w:t xml:space="preserve">, die das </w:t>
      </w:r>
      <w:r w:rsidR="00052B27">
        <w:rPr>
          <w:lang w:val="de-DE"/>
        </w:rPr>
        <w:t>M</w:t>
      </w:r>
      <w:r w:rsidR="00D05341" w:rsidRPr="2087549D">
        <w:rPr>
          <w:lang w:val="de-DE"/>
        </w:rPr>
        <w:t xml:space="preserve">icrofocus-System installieren, </w:t>
      </w:r>
      <w:r w:rsidR="00667D9B">
        <w:rPr>
          <w:lang w:val="de-DE"/>
        </w:rPr>
        <w:t xml:space="preserve">für jedes Projekt detaillierte Installationshandbücher zur Verfügung, die eine strikte Umsetzung fordern. Sind diese Voraussetzungen erfüllt, gewährt der Systemintegrator die 25-jährige Systemgarantie und damit </w:t>
      </w:r>
      <w:r w:rsidR="0052780C" w:rsidRPr="2087549D">
        <w:rPr>
          <w:lang w:val="de-DE"/>
        </w:rPr>
        <w:t>Inv</w:t>
      </w:r>
      <w:r w:rsidR="005F5B69" w:rsidRPr="2087549D">
        <w:rPr>
          <w:lang w:val="de-DE"/>
        </w:rPr>
        <w:t>e</w:t>
      </w:r>
      <w:r w:rsidR="0052780C" w:rsidRPr="2087549D">
        <w:rPr>
          <w:lang w:val="de-DE"/>
        </w:rPr>
        <w:t>s</w:t>
      </w:r>
      <w:r w:rsidR="005F5B69" w:rsidRPr="2087549D">
        <w:rPr>
          <w:lang w:val="de-DE"/>
        </w:rPr>
        <w:t>t</w:t>
      </w:r>
      <w:r w:rsidR="0052780C" w:rsidRPr="2087549D">
        <w:rPr>
          <w:lang w:val="de-DE"/>
        </w:rPr>
        <w:t>ition</w:t>
      </w:r>
      <w:r w:rsidR="00CC7CF1">
        <w:rPr>
          <w:lang w:val="de-DE"/>
        </w:rPr>
        <w:t>ssicherheit</w:t>
      </w:r>
      <w:r w:rsidR="00667D9B">
        <w:rPr>
          <w:lang w:val="de-DE"/>
        </w:rPr>
        <w:t xml:space="preserve"> für seine Endkunden</w:t>
      </w:r>
      <w:r w:rsidR="00400FBB" w:rsidRPr="2087549D">
        <w:rPr>
          <w:lang w:val="de-DE"/>
        </w:rPr>
        <w:t xml:space="preserve">. </w:t>
      </w:r>
    </w:p>
    <w:p w14:paraId="4DF25A1E" w14:textId="77777777" w:rsidR="0052780C" w:rsidRPr="00B91EEE" w:rsidRDefault="0052780C" w:rsidP="00B91EEE">
      <w:pPr>
        <w:spacing w:line="360" w:lineRule="auto"/>
        <w:rPr>
          <w:lang w:val="de-DE"/>
        </w:rPr>
      </w:pPr>
    </w:p>
    <w:p w14:paraId="64E45945" w14:textId="1F888FCB" w:rsidR="00536525" w:rsidRPr="00D842A6" w:rsidRDefault="00B7724C" w:rsidP="00536525">
      <w:pPr>
        <w:rPr>
          <w:rStyle w:val="Hyperlink"/>
          <w:sz w:val="18"/>
          <w:szCs w:val="16"/>
          <w:lang w:val="de-DE"/>
        </w:rPr>
      </w:pPr>
      <w:r w:rsidRPr="00F5253C">
        <w:rPr>
          <w:rFonts w:cs="Calibri"/>
          <w:b/>
          <w:bCs/>
          <w:sz w:val="18"/>
          <w:szCs w:val="18"/>
          <w:lang w:val="de-DE" w:eastAsia="de-DE"/>
        </w:rPr>
        <w:t xml:space="preserve">Über </w:t>
      </w:r>
      <w:r w:rsidR="00052B27">
        <w:rPr>
          <w:rFonts w:cs="Calibri"/>
          <w:b/>
          <w:bCs/>
          <w:sz w:val="18"/>
          <w:szCs w:val="18"/>
          <w:lang w:val="de-DE" w:eastAsia="de-DE"/>
        </w:rPr>
        <w:t>A</w:t>
      </w:r>
      <w:r w:rsidR="00052B27" w:rsidRPr="00F5253C">
        <w:rPr>
          <w:rFonts w:cs="Calibri"/>
          <w:b/>
          <w:bCs/>
          <w:sz w:val="18"/>
          <w:szCs w:val="18"/>
          <w:lang w:val="de-DE" w:eastAsia="de-DE"/>
        </w:rPr>
        <w:t>madys</w:t>
      </w:r>
      <w:r w:rsidRPr="00F5253C">
        <w:rPr>
          <w:rFonts w:cs="Calibri"/>
          <w:b/>
          <w:bCs/>
          <w:lang w:val="de-DE" w:eastAsia="de-DE"/>
        </w:rPr>
        <w:t xml:space="preserve"> </w:t>
      </w:r>
      <w:r w:rsidRPr="00F5253C">
        <w:rPr>
          <w:sz w:val="18"/>
          <w:szCs w:val="18"/>
          <w:lang w:val="de-DE" w:eastAsia="de-DE"/>
        </w:rPr>
        <w:br/>
      </w:r>
      <w:r w:rsidR="00536525" w:rsidRPr="00536525">
        <w:rPr>
          <w:sz w:val="18"/>
          <w:szCs w:val="16"/>
          <w:lang w:val="de-DE"/>
        </w:rPr>
        <w:t xml:space="preserve">Amadys ist ein führender Systemintegrator von End-to-End-Konnektivitätslösungen für Telekommunikations-, Infrastruktur-, Energie- und Rechenzentrumsmärkte. Das Unternehmen ist in den Benelux-Ländern, Deutschland, Dänemark, Österreich, der Slowakei und Großbritannien tätig und erwirtschaftet einen Jahresumsatz von mehr als 375 Millionen Euro. Weitere Informationen: </w:t>
      </w:r>
      <w:r w:rsidR="00D842A6">
        <w:rPr>
          <w:sz w:val="18"/>
          <w:szCs w:val="16"/>
          <w:lang w:val="de-DE"/>
        </w:rPr>
        <w:fldChar w:fldCharType="begin"/>
      </w:r>
      <w:r w:rsidR="00D842A6">
        <w:rPr>
          <w:sz w:val="18"/>
          <w:szCs w:val="16"/>
          <w:lang w:val="de-DE"/>
        </w:rPr>
        <w:instrText xml:space="preserve"> HYPERLINK "https://www.amadys.com/de/" </w:instrText>
      </w:r>
      <w:r w:rsidR="00D842A6">
        <w:rPr>
          <w:sz w:val="18"/>
          <w:szCs w:val="16"/>
          <w:lang w:val="de-DE"/>
        </w:rPr>
        <w:fldChar w:fldCharType="separate"/>
      </w:r>
      <w:r w:rsidR="00536525" w:rsidRPr="00D842A6">
        <w:rPr>
          <w:rStyle w:val="Hyperlink"/>
          <w:sz w:val="18"/>
          <w:szCs w:val="16"/>
          <w:lang w:val="de-DE"/>
        </w:rPr>
        <w:t>https://www.amadys.com/de/</w:t>
      </w:r>
    </w:p>
    <w:p w14:paraId="7A1B407B" w14:textId="4F1567BD" w:rsidR="00865D96" w:rsidRPr="00865D96" w:rsidRDefault="00D842A6" w:rsidP="00865D96">
      <w:pPr>
        <w:spacing w:line="276" w:lineRule="auto"/>
        <w:rPr>
          <w:sz w:val="18"/>
          <w:szCs w:val="16"/>
          <w:lang w:val="de-DE"/>
        </w:rPr>
      </w:pPr>
      <w:r>
        <w:rPr>
          <w:sz w:val="18"/>
          <w:szCs w:val="16"/>
          <w:lang w:val="de-DE"/>
        </w:rPr>
        <w:fldChar w:fldCharType="end"/>
      </w:r>
      <w:r w:rsidR="00B7724C">
        <w:rPr>
          <w:rStyle w:val="Hyperlink"/>
          <w:sz w:val="18"/>
          <w:szCs w:val="18"/>
          <w:lang w:val="de-DE"/>
        </w:rPr>
        <w:br/>
      </w:r>
      <w:r w:rsidR="00B7724C">
        <w:rPr>
          <w:rStyle w:val="Hyperlink"/>
          <w:sz w:val="18"/>
          <w:szCs w:val="18"/>
          <w:lang w:val="de-DE"/>
        </w:rPr>
        <w:br/>
      </w:r>
      <w:r w:rsidR="00865D96" w:rsidRPr="00865D96">
        <w:rPr>
          <w:rFonts w:cs="Calibri"/>
          <w:b/>
          <w:bCs/>
          <w:sz w:val="18"/>
          <w:szCs w:val="18"/>
          <w:lang w:val="de-DE" w:eastAsia="de-DE"/>
        </w:rPr>
        <w:t>Unternehmenskontakt</w:t>
      </w:r>
      <w:r w:rsidR="00865D96" w:rsidRPr="00865D96">
        <w:rPr>
          <w:sz w:val="32"/>
          <w:szCs w:val="32"/>
          <w:lang w:val="de-DE"/>
        </w:rPr>
        <w:t xml:space="preserve"> </w:t>
      </w:r>
      <w:r w:rsidR="00865D96" w:rsidRPr="00865D96">
        <w:rPr>
          <w:sz w:val="32"/>
          <w:szCs w:val="32"/>
          <w:lang w:val="de-DE"/>
        </w:rPr>
        <w:br/>
      </w:r>
      <w:r w:rsidR="00865D96" w:rsidRPr="00865D96">
        <w:rPr>
          <w:sz w:val="18"/>
          <w:szCs w:val="16"/>
          <w:lang w:val="de-DE"/>
        </w:rPr>
        <w:t>Amadys Germany GmbH</w:t>
      </w:r>
      <w:r w:rsidR="00865D96" w:rsidRPr="00865D96">
        <w:rPr>
          <w:sz w:val="18"/>
          <w:szCs w:val="16"/>
          <w:lang w:val="de-DE"/>
        </w:rPr>
        <w:br/>
        <w:t>Augustinusstr. 9d</w:t>
      </w:r>
      <w:r w:rsidR="00865D96" w:rsidRPr="00865D96">
        <w:rPr>
          <w:sz w:val="18"/>
          <w:szCs w:val="16"/>
          <w:lang w:val="de-DE"/>
        </w:rPr>
        <w:br/>
        <w:t>50226 Frechen</w:t>
      </w:r>
      <w:r w:rsidR="00865D96" w:rsidRPr="00865D96">
        <w:rPr>
          <w:sz w:val="18"/>
          <w:szCs w:val="16"/>
          <w:lang w:val="de-DE"/>
        </w:rPr>
        <w:br/>
      </w:r>
    </w:p>
    <w:p w14:paraId="42619C75" w14:textId="4B6F11B9" w:rsidR="00330FC5" w:rsidRPr="00330FC5" w:rsidRDefault="00865D96" w:rsidP="00865D96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865D96">
        <w:rPr>
          <w:rFonts w:cs="Calibri"/>
          <w:b/>
          <w:bCs/>
          <w:sz w:val="18"/>
          <w:szCs w:val="18"/>
          <w:lang w:val="de-DE" w:eastAsia="de-DE"/>
        </w:rPr>
        <w:t>Pressekontakt</w:t>
      </w:r>
      <w:r w:rsidRPr="00865D96">
        <w:rPr>
          <w:rFonts w:cs="Calibri"/>
          <w:b/>
          <w:bCs/>
          <w:sz w:val="18"/>
          <w:szCs w:val="18"/>
          <w:lang w:val="de-DE" w:eastAsia="de-DE"/>
        </w:rPr>
        <w:br/>
      </w:r>
      <w:r w:rsidR="00224907" w:rsidRPr="00330FC5">
        <w:rPr>
          <w:sz w:val="18"/>
          <w:szCs w:val="16"/>
          <w:lang w:val="de-DE"/>
        </w:rPr>
        <w:t>Stefanie Moormann,</w:t>
      </w:r>
      <w:r w:rsidR="00224907" w:rsidRPr="00330FC5">
        <w:rPr>
          <w:b/>
          <w:bCs/>
          <w:lang w:val="de-DE"/>
        </w:rPr>
        <w:t xml:space="preserve"> </w:t>
      </w:r>
      <w:r w:rsidR="00224907" w:rsidRPr="00330FC5">
        <w:rPr>
          <w:sz w:val="18"/>
          <w:szCs w:val="16"/>
          <w:lang w:val="de-DE"/>
        </w:rPr>
        <w:t>Marketing Director DACH, Tel: +49 2351 6563 70</w:t>
      </w:r>
      <w:r w:rsidR="00330FC5" w:rsidRPr="00330FC5">
        <w:rPr>
          <w:sz w:val="18"/>
          <w:szCs w:val="16"/>
          <w:lang w:val="de-DE"/>
        </w:rPr>
        <w:t xml:space="preserve">0, </w:t>
      </w:r>
      <w:hyperlink r:id="rId10" w:history="1">
        <w:r w:rsidR="00330FC5" w:rsidRPr="00330FC5">
          <w:rPr>
            <w:rStyle w:val="Hyperlink"/>
            <w:sz w:val="18"/>
            <w:szCs w:val="16"/>
            <w:lang w:val="de-DE"/>
          </w:rPr>
          <w:t>info-de@amadys.com</w:t>
        </w:r>
      </w:hyperlink>
    </w:p>
    <w:p w14:paraId="0285BA0E" w14:textId="60D5DF9A" w:rsidR="00865D96" w:rsidRPr="00330FC5" w:rsidRDefault="00865D96" w:rsidP="00865D96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en-US"/>
        </w:rPr>
      </w:pPr>
      <w:r w:rsidRPr="00330FC5">
        <w:rPr>
          <w:sz w:val="18"/>
          <w:szCs w:val="16"/>
          <w:lang w:val="en-US"/>
        </w:rPr>
        <w:t>Thomas Verheyen, Marketing</w:t>
      </w:r>
      <w:r w:rsidR="00330FC5" w:rsidRPr="00330FC5">
        <w:rPr>
          <w:sz w:val="18"/>
          <w:szCs w:val="16"/>
          <w:lang w:val="en-US"/>
        </w:rPr>
        <w:t xml:space="preserve"> Director Be</w:t>
      </w:r>
      <w:r w:rsidR="00330FC5">
        <w:rPr>
          <w:sz w:val="18"/>
          <w:szCs w:val="16"/>
          <w:lang w:val="en-US"/>
        </w:rPr>
        <w:t>nelux</w:t>
      </w:r>
      <w:r w:rsidRPr="00330FC5">
        <w:rPr>
          <w:sz w:val="18"/>
          <w:szCs w:val="16"/>
          <w:lang w:val="en-US"/>
        </w:rPr>
        <w:t xml:space="preserve">, Tel: +3232021650, </w:t>
      </w:r>
      <w:hyperlink r:id="rId11" w:history="1">
        <w:r w:rsidRPr="00330FC5">
          <w:rPr>
            <w:rStyle w:val="Hyperlink"/>
            <w:sz w:val="18"/>
            <w:szCs w:val="16"/>
            <w:lang w:val="en-US"/>
          </w:rPr>
          <w:t>press@amadys.com</w:t>
        </w:r>
      </w:hyperlink>
    </w:p>
    <w:p w14:paraId="5F3F58DE" w14:textId="4681497F" w:rsidR="00865D96" w:rsidRPr="00667D64" w:rsidRDefault="00865D96" w:rsidP="00865D96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3547BA">
        <w:rPr>
          <w:sz w:val="18"/>
          <w:szCs w:val="16"/>
          <w:lang w:val="de-DE"/>
        </w:rPr>
        <w:br/>
      </w:r>
      <w:r w:rsidR="00C43D37" w:rsidRPr="00667D64">
        <w:rPr>
          <w:sz w:val="18"/>
          <w:szCs w:val="16"/>
          <w:lang w:val="de-DE"/>
        </w:rPr>
        <w:t>EPR Advisors</w:t>
      </w:r>
      <w:r w:rsidRPr="00667D64">
        <w:rPr>
          <w:sz w:val="18"/>
          <w:szCs w:val="16"/>
          <w:lang w:val="de-DE"/>
        </w:rPr>
        <w:t>, Maximilianstraße 50, D - 86150 Augsburg</w:t>
      </w:r>
    </w:p>
    <w:p w14:paraId="185CB546" w14:textId="21A321A4" w:rsidR="00000BF2" w:rsidRPr="00CB24D0" w:rsidRDefault="00865D96" w:rsidP="00DC2877">
      <w:pPr>
        <w:widowControl w:val="0"/>
        <w:autoSpaceDE w:val="0"/>
        <w:autoSpaceDN w:val="0"/>
        <w:adjustRightInd w:val="0"/>
        <w:spacing w:line="300" w:lineRule="atLeast"/>
        <w:rPr>
          <w:lang w:val="de-DE"/>
        </w:rPr>
      </w:pPr>
      <w:r w:rsidRPr="00865D96">
        <w:rPr>
          <w:sz w:val="18"/>
          <w:szCs w:val="16"/>
          <w:lang w:val="de-DE"/>
        </w:rPr>
        <w:t xml:space="preserve">Frauke Schütz, Tel: +49 821 4508 7916, </w:t>
      </w:r>
      <w:hyperlink r:id="rId12" w:history="1">
        <w:r w:rsidRPr="00865D96">
          <w:rPr>
            <w:rStyle w:val="Hyperlink"/>
            <w:sz w:val="18"/>
            <w:szCs w:val="16"/>
            <w:lang w:val="de-DE"/>
          </w:rPr>
          <w:t>fs@epr-online.de</w:t>
        </w:r>
      </w:hyperlink>
      <w:r w:rsidRPr="00865D96">
        <w:rPr>
          <w:sz w:val="18"/>
          <w:szCs w:val="16"/>
          <w:lang w:val="de-DE"/>
        </w:rPr>
        <w:br/>
      </w:r>
      <w:r w:rsidR="00CB24D0">
        <w:rPr>
          <w:sz w:val="18"/>
          <w:szCs w:val="16"/>
          <w:lang w:val="de-DE"/>
        </w:rPr>
        <w:t>Andrea Schneider</w:t>
      </w:r>
      <w:r w:rsidRPr="00865D96">
        <w:rPr>
          <w:sz w:val="18"/>
          <w:szCs w:val="16"/>
          <w:lang w:val="de-DE"/>
        </w:rPr>
        <w:t>, Tel: +49 821 4508 791</w:t>
      </w:r>
      <w:r w:rsidR="00CB24D0">
        <w:rPr>
          <w:sz w:val="18"/>
          <w:szCs w:val="16"/>
          <w:lang w:val="de-DE"/>
        </w:rPr>
        <w:t>8</w:t>
      </w:r>
      <w:r w:rsidRPr="00865D96">
        <w:rPr>
          <w:sz w:val="18"/>
          <w:szCs w:val="16"/>
          <w:lang w:val="de-DE"/>
        </w:rPr>
        <w:t>,</w:t>
      </w:r>
      <w:r w:rsidR="00CB24D0">
        <w:rPr>
          <w:sz w:val="18"/>
          <w:szCs w:val="16"/>
          <w:lang w:val="de-DE"/>
        </w:rPr>
        <w:t xml:space="preserve"> </w:t>
      </w:r>
      <w:hyperlink r:id="rId13" w:history="1">
        <w:r w:rsidR="00CB24D0" w:rsidRPr="004D3096">
          <w:rPr>
            <w:rStyle w:val="Hyperlink"/>
            <w:sz w:val="18"/>
            <w:szCs w:val="16"/>
            <w:lang w:val="de-DE"/>
          </w:rPr>
          <w:t>as@epr-online.de</w:t>
        </w:r>
      </w:hyperlink>
      <w:r w:rsidR="00CB24D0">
        <w:rPr>
          <w:sz w:val="18"/>
          <w:szCs w:val="16"/>
          <w:lang w:val="de-DE"/>
        </w:rPr>
        <w:br/>
      </w:r>
      <w:hyperlink r:id="rId14" w:history="1">
        <w:r w:rsidR="00B744CC" w:rsidRPr="00CB24D0">
          <w:rPr>
            <w:rStyle w:val="Hyperlink"/>
            <w:sz w:val="18"/>
            <w:szCs w:val="18"/>
            <w:lang w:val="de-DE"/>
          </w:rPr>
          <w:t>www.epr-online.de</w:t>
        </w:r>
      </w:hyperlink>
    </w:p>
    <w:sectPr w:rsidR="00000BF2" w:rsidRPr="00CB24D0" w:rsidSect="00DC7132">
      <w:headerReference w:type="default" r:id="rId15"/>
      <w:footerReference w:type="default" r:id="rId16"/>
      <w:pgSz w:w="11906" w:h="16838" w:code="9"/>
      <w:pgMar w:top="2722" w:right="1140" w:bottom="2971" w:left="1140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45AE" w14:textId="77777777" w:rsidR="00B83412" w:rsidRDefault="00B83412" w:rsidP="00BF37CC">
      <w:r>
        <w:separator/>
      </w:r>
    </w:p>
  </w:endnote>
  <w:endnote w:type="continuationSeparator" w:id="0">
    <w:p w14:paraId="06B6DFCF" w14:textId="77777777" w:rsidR="00B83412" w:rsidRDefault="00B83412" w:rsidP="00BF37CC">
      <w:r>
        <w:continuationSeparator/>
      </w:r>
    </w:p>
  </w:endnote>
  <w:endnote w:type="continuationNotice" w:id="1">
    <w:p w14:paraId="229BD5FC" w14:textId="77777777" w:rsidR="00B83412" w:rsidRDefault="00B83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FA8" w14:textId="5CF90EDE" w:rsidR="00E637C6" w:rsidRPr="001F30CB" w:rsidRDefault="00E03F37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>
      <w:rPr>
        <w:rFonts w:ascii="Cera Pro" w:eastAsia="Hiragino Mincho Pro W3" w:hAnsi="Cera Pro"/>
        <w:b/>
        <w:bCs/>
        <w:noProof/>
        <w:szCs w:val="24"/>
        <w:lang w:val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8A919C5" wp14:editId="52FE3497">
              <wp:simplePos x="0" y="0"/>
              <wp:positionH relativeFrom="column">
                <wp:posOffset>1799844</wp:posOffset>
              </wp:positionH>
              <wp:positionV relativeFrom="paragraph">
                <wp:posOffset>-156464</wp:posOffset>
              </wp:positionV>
              <wp:extent cx="1925955" cy="1551600"/>
              <wp:effectExtent l="0" t="0" r="444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5955" cy="15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3003A" w14:textId="6E8C4E3C" w:rsidR="00E03F37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b/>
                              <w:bCs/>
                              <w:szCs w:val="24"/>
                              <w:lang w:val="nl-NL"/>
                            </w:rPr>
                          </w:pPr>
                        </w:p>
                        <w:p w14:paraId="17A235BB" w14:textId="77777777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</w:p>
                        <w:p w14:paraId="3F1C7029" w14:textId="0A49A635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+</w:t>
                          </w:r>
                          <w:r w:rsidR="00247D1E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49</w:t>
                          </w: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247D1E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2351 6563 700</w:t>
                          </w:r>
                        </w:p>
                        <w:p w14:paraId="79483C5F" w14:textId="13E7D091" w:rsidR="00C00727" w:rsidRPr="00B744CC" w:rsidRDefault="00000000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hyperlink r:id="rId1" w:history="1">
                            <w:r w:rsidR="00B744CC" w:rsidRPr="00B744CC">
                              <w:rPr>
                                <w:rStyle w:val="Hyperlink"/>
                                <w:lang w:val="nl-NL"/>
                              </w:rPr>
                              <w:t>hello@amadys.com</w:t>
                            </w:r>
                          </w:hyperlink>
                          <w:r w:rsidR="00B744CC"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C71371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br/>
                          </w:r>
                          <w:hyperlink r:id="rId2" w:history="1">
                            <w:r w:rsidR="00C71371" w:rsidRPr="004D3096">
                              <w:rPr>
                                <w:rStyle w:val="Hyperlink"/>
                                <w:rFonts w:ascii="Cera Pro" w:eastAsia="Hiragino Mincho Pro W3" w:hAnsi="Cera Pro"/>
                                <w:szCs w:val="24"/>
                                <w:lang w:val="nl-NL"/>
                              </w:rPr>
                              <w:t>www.amadys.com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19C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41.7pt;margin-top:-12.3pt;width:151.65pt;height:12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" filled="f" stroked="f" strokeweight=".5pt">
              <v:textbox inset="0,0,0,0">
                <w:txbxContent>
                  <w:p w14:paraId="05B3003A" w14:textId="6E8C4E3C" w:rsidR="00E03F37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b/>
                        <w:bCs/>
                        <w:szCs w:val="24"/>
                        <w:lang w:val="nl-NL"/>
                      </w:rPr>
                    </w:pPr>
                  </w:p>
                  <w:p w14:paraId="17A235BB" w14:textId="77777777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</w:p>
                  <w:p w14:paraId="3F1C7029" w14:textId="0A49A635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+</w:t>
                    </w:r>
                    <w:r w:rsidR="00247D1E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49</w:t>
                    </w: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 xml:space="preserve"> </w:t>
                    </w:r>
                    <w:r w:rsidR="00247D1E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2351 6563 700</w:t>
                    </w:r>
                  </w:p>
                  <w:p w14:paraId="79483C5F" w14:textId="13E7D091" w:rsidR="00C00727" w:rsidRPr="00B744CC" w:rsidRDefault="00000000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hyperlink r:id="rId3" w:history="1">
                      <w:r w:rsidR="00B744CC" w:rsidRPr="00B744CC">
                        <w:rPr>
                          <w:rStyle w:val="Hyperlink"/>
                          <w:lang w:val="nl-NL"/>
                        </w:rPr>
                        <w:t>hello@amadys.com</w:t>
                      </w:r>
                    </w:hyperlink>
                    <w:r w:rsidR="00B744CC"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 xml:space="preserve"> </w:t>
                    </w:r>
                    <w:r w:rsidR="00C71371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br/>
                    </w:r>
                    <w:hyperlink r:id="rId4" w:history="1">
                      <w:r w:rsidR="00C71371" w:rsidRPr="004D3096">
                        <w:rPr>
                          <w:rStyle w:val="Hyperlink"/>
                          <w:rFonts w:ascii="Cera Pro" w:eastAsia="Hiragino Mincho Pro W3" w:hAnsi="Cera Pro"/>
                          <w:szCs w:val="24"/>
                          <w:lang w:val="nl-NL"/>
                        </w:rPr>
                        <w:t>www.amadys.com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F30CB" w:rsidRPr="001F30CB">
      <w:rPr>
        <w:rFonts w:ascii="Cera Pro" w:eastAsia="Hiragino Mincho Pro W3" w:hAnsi="Cera Pro"/>
        <w:b/>
        <w:bCs/>
        <w:szCs w:val="24"/>
        <w:lang w:val="de-DE"/>
      </w:rPr>
      <w:t xml:space="preserve"> </w:t>
    </w:r>
    <w:r w:rsidR="001F30CB" w:rsidRPr="001F30CB">
      <w:rPr>
        <w:rFonts w:ascii="Cera Pro" w:eastAsia="Hiragino Mincho Pro W3" w:hAnsi="Cera Pro"/>
        <w:b/>
        <w:bCs/>
        <w:szCs w:val="24"/>
        <w:lang w:val="de-DE"/>
      </w:rPr>
      <w:br/>
      <w:t>Amadys Germany GmbH</w:t>
    </w:r>
    <w:r w:rsidR="001F30CB" w:rsidRPr="001F30CB">
      <w:rPr>
        <w:szCs w:val="16"/>
        <w:lang w:val="de-DE"/>
      </w:rPr>
      <w:br/>
    </w:r>
    <w:r w:rsidR="001F30CB" w:rsidRPr="001F30CB">
      <w:rPr>
        <w:rFonts w:ascii="Cera Pro" w:eastAsia="Hiragino Mincho Pro W3" w:hAnsi="Cera Pro"/>
        <w:szCs w:val="24"/>
        <w:lang w:val="de-DE"/>
      </w:rPr>
      <w:t>Augustinusstr. 9d</w:t>
    </w:r>
    <w:r w:rsidR="001F30CB" w:rsidRPr="00865D96">
      <w:rPr>
        <w:szCs w:val="16"/>
        <w:lang w:val="de-DE"/>
      </w:rPr>
      <w:br/>
    </w:r>
    <w:r w:rsidR="001F30CB" w:rsidRPr="001F30CB">
      <w:rPr>
        <w:rFonts w:ascii="Cera Pro" w:eastAsia="Hiragino Mincho Pro W3" w:hAnsi="Cera Pro"/>
        <w:szCs w:val="24"/>
        <w:lang w:val="de-DE"/>
      </w:rPr>
      <w:t xml:space="preserve">50226 Frechen </w:t>
    </w:r>
  </w:p>
  <w:p w14:paraId="34690D2A" w14:textId="462555DB" w:rsidR="00E637C6" w:rsidRPr="001F30CB" w:rsidRDefault="001F30CB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>
      <w:rPr>
        <w:rFonts w:ascii="Cera Pro" w:eastAsia="Hiragino Mincho Pro W3" w:hAnsi="Cera Pro"/>
        <w:szCs w:val="24"/>
        <w:lang w:val="de-DE"/>
      </w:rPr>
      <w:t>Deutschland</w:t>
    </w:r>
  </w:p>
  <w:p w14:paraId="3D2AC4EC" w14:textId="77777777" w:rsidR="00E637C6" w:rsidRPr="001F30CB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</w:p>
  <w:p w14:paraId="0A125D29" w14:textId="1214994A" w:rsidR="00BF37CC" w:rsidRPr="00E03F37" w:rsidRDefault="00E12276" w:rsidP="00E03F37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4F232" wp14:editId="52C21D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106800" cy="1875600"/>
          <wp:effectExtent l="0" t="0" r="5080" b="4445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8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4045" w14:textId="77777777" w:rsidR="00B83412" w:rsidRDefault="00B83412" w:rsidP="00BF37CC">
      <w:r>
        <w:separator/>
      </w:r>
    </w:p>
  </w:footnote>
  <w:footnote w:type="continuationSeparator" w:id="0">
    <w:p w14:paraId="720545F3" w14:textId="77777777" w:rsidR="00B83412" w:rsidRDefault="00B83412" w:rsidP="00BF37CC">
      <w:r>
        <w:continuationSeparator/>
      </w:r>
    </w:p>
  </w:footnote>
  <w:footnote w:type="continuationNotice" w:id="1">
    <w:p w14:paraId="36D1B035" w14:textId="77777777" w:rsidR="00B83412" w:rsidRDefault="00B83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D17" w14:textId="510886B2" w:rsidR="00BF37CC" w:rsidRDefault="002F0C11" w:rsidP="00BF37CC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479A2CC8" wp14:editId="2BE1AE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9200" cy="1026000"/>
          <wp:effectExtent l="0" t="0" r="0" b="3175"/>
          <wp:wrapTight wrapText="bothSides">
            <wp:wrapPolygon edited="0">
              <wp:start x="10782" y="14445"/>
              <wp:lineTo x="1593" y="14980"/>
              <wp:lineTo x="0" y="15515"/>
              <wp:lineTo x="0" y="21399"/>
              <wp:lineTo x="13109" y="21399"/>
              <wp:lineTo x="13722" y="21399"/>
              <wp:lineTo x="14947" y="19794"/>
              <wp:lineTo x="15070" y="14445"/>
              <wp:lineTo x="10782" y="14445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9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7CC">
      <w:t xml:space="preserve"> </w:t>
    </w:r>
  </w:p>
  <w:p w14:paraId="4F2445E3" w14:textId="3D99EC88" w:rsidR="00865D96" w:rsidRDefault="00865D96" w:rsidP="00BF37CC">
    <w:pPr>
      <w:pStyle w:val="Kopfzeile"/>
      <w:jc w:val="right"/>
    </w:pPr>
  </w:p>
  <w:p w14:paraId="5513F9CB" w14:textId="7A62B929" w:rsidR="00865D96" w:rsidRDefault="00865D96" w:rsidP="00BF37CC">
    <w:pPr>
      <w:pStyle w:val="Kopfzeile"/>
      <w:jc w:val="right"/>
    </w:pPr>
  </w:p>
  <w:p w14:paraId="3866409F" w14:textId="45C9EECD" w:rsidR="00865D96" w:rsidRDefault="00865D96" w:rsidP="00BF37CC">
    <w:pPr>
      <w:pStyle w:val="Kopfzeile"/>
      <w:jc w:val="right"/>
    </w:pPr>
  </w:p>
  <w:p w14:paraId="6EDAFC8C" w14:textId="62176B09" w:rsidR="00865D96" w:rsidRDefault="00865D96" w:rsidP="00BF37CC">
    <w:pPr>
      <w:pStyle w:val="Kopfzeile"/>
      <w:jc w:val="right"/>
    </w:pPr>
  </w:p>
  <w:p w14:paraId="377232EE" w14:textId="33189533" w:rsidR="00865D96" w:rsidRDefault="00865D96" w:rsidP="00BF37CC">
    <w:pPr>
      <w:pStyle w:val="Kopfzeile"/>
      <w:jc w:val="right"/>
    </w:pPr>
  </w:p>
  <w:p w14:paraId="51209CF8" w14:textId="6B32AEF5" w:rsidR="00865D96" w:rsidRDefault="00865D96" w:rsidP="00BF37CC">
    <w:pPr>
      <w:pStyle w:val="Kopfzeile"/>
      <w:jc w:val="right"/>
    </w:pPr>
  </w:p>
  <w:p w14:paraId="126ED72E" w14:textId="4141C206" w:rsidR="00865D96" w:rsidRDefault="00865D96" w:rsidP="00BF37CC">
    <w:pPr>
      <w:pStyle w:val="Kopfzeile"/>
      <w:jc w:val="right"/>
    </w:pPr>
  </w:p>
  <w:p w14:paraId="12BD3082" w14:textId="7EFA93E9" w:rsidR="00865D96" w:rsidRDefault="00865D96" w:rsidP="00BF37CC">
    <w:pPr>
      <w:pStyle w:val="Kopfzeile"/>
      <w:jc w:val="right"/>
    </w:pPr>
  </w:p>
  <w:p w14:paraId="6E0943AF" w14:textId="48652274" w:rsidR="00865D96" w:rsidRPr="00865D96" w:rsidRDefault="00865D96" w:rsidP="00BF37CC">
    <w:pPr>
      <w:pStyle w:val="Kopfzeile"/>
      <w:jc w:val="right"/>
      <w:rPr>
        <w:b/>
        <w:bCs/>
      </w:rPr>
    </w:pPr>
    <w:r w:rsidRPr="00865D96">
      <w:rPr>
        <w:b/>
        <w:bCs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5C7"/>
    <w:multiLevelType w:val="hybridMultilevel"/>
    <w:tmpl w:val="B6F0CA0C"/>
    <w:lvl w:ilvl="0" w:tplc="B328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1716"/>
    <w:multiLevelType w:val="hybridMultilevel"/>
    <w:tmpl w:val="E3143114"/>
    <w:lvl w:ilvl="0" w:tplc="173A5456">
      <w:start w:val="1"/>
      <w:numFmt w:val="bullet"/>
      <w:lvlText w:val="-"/>
      <w:lvlJc w:val="left"/>
      <w:pPr>
        <w:ind w:left="720" w:hanging="360"/>
      </w:pPr>
      <w:rPr>
        <w:rFonts w:ascii="Trade Gothic LT Com" w:eastAsia="Calibri" w:hAnsi="Trade Gothic LT Com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043">
    <w:abstractNumId w:val="1"/>
  </w:num>
  <w:num w:numId="2" w16cid:durableId="99657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7"/>
    <w:rsid w:val="00000880"/>
    <w:rsid w:val="00000BF2"/>
    <w:rsid w:val="00007A83"/>
    <w:rsid w:val="00025E2E"/>
    <w:rsid w:val="00040A43"/>
    <w:rsid w:val="00042085"/>
    <w:rsid w:val="0004326D"/>
    <w:rsid w:val="00052B27"/>
    <w:rsid w:val="000576C2"/>
    <w:rsid w:val="00065794"/>
    <w:rsid w:val="000B6032"/>
    <w:rsid w:val="000F51F8"/>
    <w:rsid w:val="001002D8"/>
    <w:rsid w:val="00135F7F"/>
    <w:rsid w:val="00142D87"/>
    <w:rsid w:val="00147988"/>
    <w:rsid w:val="00153525"/>
    <w:rsid w:val="00162484"/>
    <w:rsid w:val="00170E76"/>
    <w:rsid w:val="00175FF6"/>
    <w:rsid w:val="001A029D"/>
    <w:rsid w:val="001C075D"/>
    <w:rsid w:val="001C0DFB"/>
    <w:rsid w:val="001D275B"/>
    <w:rsid w:val="001E18D9"/>
    <w:rsid w:val="001F30CB"/>
    <w:rsid w:val="00224907"/>
    <w:rsid w:val="0022714C"/>
    <w:rsid w:val="00234657"/>
    <w:rsid w:val="00247D1E"/>
    <w:rsid w:val="002B51DD"/>
    <w:rsid w:val="002B7627"/>
    <w:rsid w:val="002E4563"/>
    <w:rsid w:val="002F0C11"/>
    <w:rsid w:val="00330996"/>
    <w:rsid w:val="00330FC5"/>
    <w:rsid w:val="00336D57"/>
    <w:rsid w:val="00344479"/>
    <w:rsid w:val="003547BA"/>
    <w:rsid w:val="00354DA5"/>
    <w:rsid w:val="00354FBA"/>
    <w:rsid w:val="003552C7"/>
    <w:rsid w:val="00393B7C"/>
    <w:rsid w:val="003B43C7"/>
    <w:rsid w:val="003C7C7C"/>
    <w:rsid w:val="00400FBB"/>
    <w:rsid w:val="00442E8D"/>
    <w:rsid w:val="00461A14"/>
    <w:rsid w:val="00493DDA"/>
    <w:rsid w:val="004B53F3"/>
    <w:rsid w:val="004B7B52"/>
    <w:rsid w:val="004C7E94"/>
    <w:rsid w:val="004D45A8"/>
    <w:rsid w:val="00511E67"/>
    <w:rsid w:val="0052780C"/>
    <w:rsid w:val="0053510C"/>
    <w:rsid w:val="00536525"/>
    <w:rsid w:val="00540815"/>
    <w:rsid w:val="005C258B"/>
    <w:rsid w:val="005C2C56"/>
    <w:rsid w:val="005E4CCD"/>
    <w:rsid w:val="005F5B69"/>
    <w:rsid w:val="005F6360"/>
    <w:rsid w:val="006036C4"/>
    <w:rsid w:val="00634D7C"/>
    <w:rsid w:val="00642C74"/>
    <w:rsid w:val="0064588F"/>
    <w:rsid w:val="00660858"/>
    <w:rsid w:val="006621C6"/>
    <w:rsid w:val="00664886"/>
    <w:rsid w:val="00667D64"/>
    <w:rsid w:val="00667D9B"/>
    <w:rsid w:val="006B62C3"/>
    <w:rsid w:val="006D24C4"/>
    <w:rsid w:val="006E06B5"/>
    <w:rsid w:val="006E4207"/>
    <w:rsid w:val="006E5A19"/>
    <w:rsid w:val="00701CCA"/>
    <w:rsid w:val="00716736"/>
    <w:rsid w:val="00727ACD"/>
    <w:rsid w:val="007302F9"/>
    <w:rsid w:val="00733473"/>
    <w:rsid w:val="0075113B"/>
    <w:rsid w:val="0075180F"/>
    <w:rsid w:val="007577CB"/>
    <w:rsid w:val="00792CCF"/>
    <w:rsid w:val="007A3E92"/>
    <w:rsid w:val="007F69D0"/>
    <w:rsid w:val="00805881"/>
    <w:rsid w:val="00827ACF"/>
    <w:rsid w:val="00832103"/>
    <w:rsid w:val="0084587C"/>
    <w:rsid w:val="00856821"/>
    <w:rsid w:val="00865D96"/>
    <w:rsid w:val="00882125"/>
    <w:rsid w:val="008C4007"/>
    <w:rsid w:val="008E784D"/>
    <w:rsid w:val="00901AAB"/>
    <w:rsid w:val="0090324A"/>
    <w:rsid w:val="00932AC6"/>
    <w:rsid w:val="00935D0C"/>
    <w:rsid w:val="00941F3B"/>
    <w:rsid w:val="00942C4F"/>
    <w:rsid w:val="009456E0"/>
    <w:rsid w:val="00976575"/>
    <w:rsid w:val="00977714"/>
    <w:rsid w:val="009D01D2"/>
    <w:rsid w:val="009E05B2"/>
    <w:rsid w:val="009E5840"/>
    <w:rsid w:val="009E5EBE"/>
    <w:rsid w:val="009F5B5F"/>
    <w:rsid w:val="00A0228C"/>
    <w:rsid w:val="00A040ED"/>
    <w:rsid w:val="00A31BDB"/>
    <w:rsid w:val="00A41E39"/>
    <w:rsid w:val="00A4537E"/>
    <w:rsid w:val="00A51D66"/>
    <w:rsid w:val="00A567F2"/>
    <w:rsid w:val="00A57D1C"/>
    <w:rsid w:val="00A702DD"/>
    <w:rsid w:val="00A858AB"/>
    <w:rsid w:val="00A85BA7"/>
    <w:rsid w:val="00AA6654"/>
    <w:rsid w:val="00AF752B"/>
    <w:rsid w:val="00B2189A"/>
    <w:rsid w:val="00B459DC"/>
    <w:rsid w:val="00B473AE"/>
    <w:rsid w:val="00B744CC"/>
    <w:rsid w:val="00B7724C"/>
    <w:rsid w:val="00B81877"/>
    <w:rsid w:val="00B83412"/>
    <w:rsid w:val="00B91EEE"/>
    <w:rsid w:val="00BA3D9F"/>
    <w:rsid w:val="00BB5159"/>
    <w:rsid w:val="00BE0400"/>
    <w:rsid w:val="00BF37CC"/>
    <w:rsid w:val="00C00727"/>
    <w:rsid w:val="00C1298D"/>
    <w:rsid w:val="00C15F5C"/>
    <w:rsid w:val="00C2025C"/>
    <w:rsid w:val="00C43D37"/>
    <w:rsid w:val="00C71371"/>
    <w:rsid w:val="00C73BF9"/>
    <w:rsid w:val="00C80DA2"/>
    <w:rsid w:val="00C8109D"/>
    <w:rsid w:val="00C94A1E"/>
    <w:rsid w:val="00CA0E91"/>
    <w:rsid w:val="00CA0FD5"/>
    <w:rsid w:val="00CB24D0"/>
    <w:rsid w:val="00CC0E54"/>
    <w:rsid w:val="00CC53F5"/>
    <w:rsid w:val="00CC7CF1"/>
    <w:rsid w:val="00CD329C"/>
    <w:rsid w:val="00CD6C08"/>
    <w:rsid w:val="00D02E26"/>
    <w:rsid w:val="00D05341"/>
    <w:rsid w:val="00D161FE"/>
    <w:rsid w:val="00D2538B"/>
    <w:rsid w:val="00D27958"/>
    <w:rsid w:val="00D30481"/>
    <w:rsid w:val="00D71F4E"/>
    <w:rsid w:val="00D75316"/>
    <w:rsid w:val="00D842A6"/>
    <w:rsid w:val="00DC2877"/>
    <w:rsid w:val="00DC7132"/>
    <w:rsid w:val="00DD32AB"/>
    <w:rsid w:val="00DE13FA"/>
    <w:rsid w:val="00DF138C"/>
    <w:rsid w:val="00DF4649"/>
    <w:rsid w:val="00DF630E"/>
    <w:rsid w:val="00E03F37"/>
    <w:rsid w:val="00E0453F"/>
    <w:rsid w:val="00E12276"/>
    <w:rsid w:val="00E14EFA"/>
    <w:rsid w:val="00E153BC"/>
    <w:rsid w:val="00E50167"/>
    <w:rsid w:val="00E557FC"/>
    <w:rsid w:val="00E637C6"/>
    <w:rsid w:val="00E75FD6"/>
    <w:rsid w:val="00EB0494"/>
    <w:rsid w:val="00EE4AC4"/>
    <w:rsid w:val="00F57566"/>
    <w:rsid w:val="00F82C4F"/>
    <w:rsid w:val="00FB09B5"/>
    <w:rsid w:val="00FB70CD"/>
    <w:rsid w:val="00FC4098"/>
    <w:rsid w:val="00FC6B8E"/>
    <w:rsid w:val="02BF9B19"/>
    <w:rsid w:val="2087549D"/>
    <w:rsid w:val="2436AB4C"/>
    <w:rsid w:val="24576795"/>
    <w:rsid w:val="2BC0EBC9"/>
    <w:rsid w:val="438B06E8"/>
    <w:rsid w:val="540DF903"/>
    <w:rsid w:val="6547922D"/>
    <w:rsid w:val="75018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7118"/>
  <w15:docId w15:val="{4B017F8B-06F9-9247-AA5F-1AD2716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7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7CC"/>
  </w:style>
  <w:style w:type="paragraph" w:styleId="Fuzeile">
    <w:name w:val="footer"/>
    <w:basedOn w:val="Standard"/>
    <w:link w:val="Fu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7CC"/>
  </w:style>
  <w:style w:type="paragraph" w:customStyle="1" w:styleId="p1">
    <w:name w:val="p1"/>
    <w:basedOn w:val="Standard"/>
    <w:rsid w:val="00805881"/>
    <w:rPr>
      <w:rFonts w:ascii="Minion Pro" w:hAnsi="Minion Pro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473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73"/>
    <w:rPr>
      <w:b/>
      <w:bCs/>
      <w:lang w:val="nl-NL"/>
    </w:rPr>
  </w:style>
  <w:style w:type="character" w:styleId="Hyperlink">
    <w:name w:val="Hyperlink"/>
    <w:basedOn w:val="Absatz-Standardschriftart"/>
    <w:uiPriority w:val="99"/>
    <w:unhideWhenUsed/>
    <w:rsid w:val="00E14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14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37C6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000BF2"/>
    <w:pPr>
      <w:spacing w:line="290" w:lineRule="exact"/>
      <w:ind w:left="708"/>
      <w:jc w:val="both"/>
    </w:pPr>
    <w:rPr>
      <w:rFonts w:ascii="Trade Gothic LT Com" w:hAnsi="Trade Gothic LT Com"/>
      <w:sz w:val="21"/>
      <w:lang w:val="nl-BE" w:eastAsia="nl-BE"/>
    </w:rPr>
  </w:style>
  <w:style w:type="paragraph" w:styleId="berarbeitung">
    <w:name w:val="Revision"/>
    <w:hidden/>
    <w:uiPriority w:val="99"/>
    <w:semiHidden/>
    <w:rsid w:val="00B744CC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@epr-onlin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@epr-onlin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amady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-de@amady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pr-onlin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amadys.com" TargetMode="External"/><Relationship Id="rId2" Type="http://schemas.openxmlformats.org/officeDocument/2006/relationships/hyperlink" Target="http://www.amadys.com" TargetMode="External"/><Relationship Id="rId1" Type="http://schemas.openxmlformats.org/officeDocument/2006/relationships/hyperlink" Target="mailto:hello@amadys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mad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1ec0e-93d8-4c7e-9200-9fcdc1299261">
      <Terms xmlns="http://schemas.microsoft.com/office/infopath/2007/PartnerControls"/>
    </lcf76f155ced4ddcb4097134ff3c332f>
    <TaxCatchAll xmlns="c1a43ea4-dd3d-4c36-9f3d-fe65e996b8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B4CDC2F0764C92968FD889C195BD" ma:contentTypeVersion="12" ma:contentTypeDescription="Ein neues Dokument erstellen." ma:contentTypeScope="" ma:versionID="f855b3ddf3c28b2c0baab77c568c1322">
  <xsd:schema xmlns:xsd="http://www.w3.org/2001/XMLSchema" xmlns:xs="http://www.w3.org/2001/XMLSchema" xmlns:p="http://schemas.microsoft.com/office/2006/metadata/properties" xmlns:ns2="0141ec0e-93d8-4c7e-9200-9fcdc1299261" xmlns:ns3="c1a43ea4-dd3d-4c36-9f3d-fe65e996b839" targetNamespace="http://schemas.microsoft.com/office/2006/metadata/properties" ma:root="true" ma:fieldsID="9c327057b3c7acc9619174851e51c3e7" ns2:_="" ns3:_="">
    <xsd:import namespace="0141ec0e-93d8-4c7e-9200-9fcdc1299261"/>
    <xsd:import namespace="c1a43ea4-dd3d-4c36-9f3d-fe65e996b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ec0e-93d8-4c7e-9200-9fcdc1299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3ea4-dd3d-4c36-9f3d-fe65e996b83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2e2f89-caf2-4942-ba77-ac94dec314ce}" ma:internalName="TaxCatchAll" ma:showField="CatchAllData" ma:web="c1a43ea4-dd3d-4c36-9f3d-fe65e996b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54A3-C0D9-40C0-AEB2-E005FAB5CB5C}">
  <ds:schemaRefs>
    <ds:schemaRef ds:uri="http://schemas.microsoft.com/office/2006/metadata/properties"/>
    <ds:schemaRef ds:uri="http://schemas.microsoft.com/office/infopath/2007/PartnerControls"/>
    <ds:schemaRef ds:uri="0141ec0e-93d8-4c7e-9200-9fcdc1299261"/>
    <ds:schemaRef ds:uri="c1a43ea4-dd3d-4c36-9f3d-fe65e996b839"/>
  </ds:schemaRefs>
</ds:datastoreItem>
</file>

<file path=customXml/itemProps2.xml><?xml version="1.0" encoding="utf-8"?>
<ds:datastoreItem xmlns:ds="http://schemas.openxmlformats.org/officeDocument/2006/customXml" ds:itemID="{9B58CE68-9C39-4DCD-960D-28E5A8EE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1ec0e-93d8-4c7e-9200-9fcdc1299261"/>
    <ds:schemaRef ds:uri="c1a43ea4-dd3d-4c36-9f3d-fe65e996b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5BB9F-C007-46E8-BF66-9485BB6EC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Jong</dc:creator>
  <cp:keywords/>
  <cp:lastModifiedBy>Sandra Staehr | EPR Advisors</cp:lastModifiedBy>
  <cp:revision>15</cp:revision>
  <dcterms:created xsi:type="dcterms:W3CDTF">2022-10-07T12:30:00Z</dcterms:created>
  <dcterms:modified xsi:type="dcterms:W3CDTF">2022-10-24T12:35:00Z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0x0101007DC2B4CDC2F0764C92968FD889C195BD</vt:lpwstr>
  </property>
  <property fmtid="{D5CDD505-2E9C-101B-9397-08002B2CF9AE}" pid="3" name="MediaServiceImageTags">
    <vt:lpwstr/>
  </property>
</Properties>
</file>