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5AC" w:rsidRPr="00E930C7" w:rsidRDefault="00571A31" w:rsidP="00846687">
      <w:pPr>
        <w:spacing w:line="360" w:lineRule="auto"/>
        <w:rPr>
          <w:rFonts w:ascii="Verdana" w:hAnsi="Verdana"/>
          <w:bCs/>
          <w:sz w:val="20"/>
          <w:szCs w:val="20"/>
          <w:u w:val="single"/>
        </w:rPr>
      </w:pPr>
      <w:r w:rsidRPr="00E930C7">
        <w:rPr>
          <w:rFonts w:ascii="Verdana" w:hAnsi="Verdana"/>
          <w:bCs/>
          <w:sz w:val="20"/>
          <w:szCs w:val="20"/>
          <w:u w:val="single"/>
        </w:rPr>
        <w:t xml:space="preserve">BU Multimedia Solutions </w:t>
      </w:r>
      <w:r w:rsidR="003418AF" w:rsidRPr="00E930C7">
        <w:rPr>
          <w:rFonts w:ascii="Verdana" w:hAnsi="Verdana"/>
          <w:bCs/>
          <w:sz w:val="20"/>
          <w:szCs w:val="20"/>
          <w:u w:val="single"/>
        </w:rPr>
        <w:t>of</w:t>
      </w:r>
      <w:r w:rsidRPr="00E930C7">
        <w:rPr>
          <w:rFonts w:ascii="Verdana" w:hAnsi="Verdana"/>
          <w:bCs/>
          <w:sz w:val="20"/>
          <w:szCs w:val="20"/>
          <w:u w:val="single"/>
        </w:rPr>
        <w:t xml:space="preserve"> </w:t>
      </w:r>
      <w:proofErr w:type="spellStart"/>
      <w:r w:rsidR="003418AF" w:rsidRPr="00E930C7">
        <w:rPr>
          <w:rFonts w:ascii="Verdana" w:hAnsi="Verdana"/>
          <w:bCs/>
          <w:sz w:val="20"/>
          <w:szCs w:val="20"/>
          <w:u w:val="single"/>
        </w:rPr>
        <w:t>the</w:t>
      </w:r>
      <w:proofErr w:type="spellEnd"/>
      <w:r w:rsidR="003418AF" w:rsidRPr="00E930C7">
        <w:rPr>
          <w:rFonts w:ascii="Verdana" w:hAnsi="Verdana"/>
          <w:bCs/>
          <w:sz w:val="20"/>
          <w:szCs w:val="20"/>
          <w:u w:val="single"/>
        </w:rPr>
        <w:t xml:space="preserve"> </w:t>
      </w:r>
      <w:proofErr w:type="spellStart"/>
      <w:r w:rsidRPr="00E930C7">
        <w:rPr>
          <w:rFonts w:ascii="Verdana" w:hAnsi="Verdana"/>
          <w:bCs/>
          <w:sz w:val="20"/>
          <w:szCs w:val="20"/>
          <w:u w:val="single"/>
        </w:rPr>
        <w:t>Prysmian</w:t>
      </w:r>
      <w:proofErr w:type="spellEnd"/>
      <w:r w:rsidRPr="00E930C7">
        <w:rPr>
          <w:rFonts w:ascii="Verdana" w:hAnsi="Verdana"/>
          <w:bCs/>
          <w:sz w:val="20"/>
          <w:szCs w:val="20"/>
          <w:u w:val="single"/>
        </w:rPr>
        <w:t xml:space="preserve"> Group </w:t>
      </w:r>
      <w:proofErr w:type="spellStart"/>
      <w:r w:rsidR="003418AF" w:rsidRPr="00E930C7">
        <w:rPr>
          <w:rFonts w:ascii="Verdana" w:hAnsi="Verdana"/>
          <w:bCs/>
          <w:sz w:val="20"/>
          <w:szCs w:val="20"/>
          <w:u w:val="single"/>
        </w:rPr>
        <w:t>is</w:t>
      </w:r>
      <w:proofErr w:type="spellEnd"/>
      <w:r w:rsidR="003418AF" w:rsidRPr="00E930C7">
        <w:rPr>
          <w:rFonts w:ascii="Verdana" w:hAnsi="Verdana"/>
          <w:bCs/>
          <w:sz w:val="20"/>
          <w:szCs w:val="20"/>
          <w:u w:val="single"/>
        </w:rPr>
        <w:t xml:space="preserve"> </w:t>
      </w:r>
      <w:proofErr w:type="spellStart"/>
      <w:r w:rsidR="003418AF" w:rsidRPr="00E930C7">
        <w:rPr>
          <w:rFonts w:ascii="Verdana" w:hAnsi="Verdana"/>
          <w:bCs/>
          <w:sz w:val="20"/>
          <w:szCs w:val="20"/>
          <w:u w:val="single"/>
        </w:rPr>
        <w:t>technology</w:t>
      </w:r>
      <w:proofErr w:type="spellEnd"/>
      <w:r w:rsidR="003418AF" w:rsidRPr="00E930C7">
        <w:rPr>
          <w:rFonts w:ascii="Verdana" w:hAnsi="Verdana"/>
          <w:bCs/>
          <w:sz w:val="20"/>
          <w:szCs w:val="20"/>
          <w:u w:val="single"/>
        </w:rPr>
        <w:t xml:space="preserve"> </w:t>
      </w:r>
      <w:proofErr w:type="spellStart"/>
      <w:r w:rsidR="003418AF" w:rsidRPr="00E930C7">
        <w:rPr>
          <w:rFonts w:ascii="Verdana" w:hAnsi="Verdana"/>
          <w:bCs/>
          <w:sz w:val="20"/>
          <w:szCs w:val="20"/>
          <w:u w:val="single"/>
        </w:rPr>
        <w:t>partner</w:t>
      </w:r>
      <w:proofErr w:type="spellEnd"/>
      <w:r w:rsidR="003418AF" w:rsidRPr="00E930C7">
        <w:rPr>
          <w:rFonts w:ascii="Verdana" w:hAnsi="Verdana"/>
          <w:bCs/>
          <w:sz w:val="20"/>
          <w:szCs w:val="20"/>
          <w:u w:val="single"/>
        </w:rPr>
        <w:t xml:space="preserve"> in </w:t>
      </w:r>
      <w:proofErr w:type="spellStart"/>
      <w:r w:rsidR="003418AF" w:rsidRPr="00E930C7">
        <w:rPr>
          <w:rFonts w:ascii="Verdana" w:hAnsi="Verdana"/>
          <w:bCs/>
          <w:sz w:val="20"/>
          <w:szCs w:val="20"/>
          <w:u w:val="single"/>
        </w:rPr>
        <w:t>the</w:t>
      </w:r>
      <w:proofErr w:type="spellEnd"/>
      <w:r w:rsidR="003418AF" w:rsidRPr="00E930C7">
        <w:rPr>
          <w:rFonts w:ascii="Verdana" w:hAnsi="Verdana"/>
          <w:bCs/>
          <w:sz w:val="20"/>
          <w:szCs w:val="20"/>
          <w:u w:val="single"/>
        </w:rPr>
        <w:t xml:space="preserve"> </w:t>
      </w:r>
      <w:proofErr w:type="spellStart"/>
      <w:r w:rsidR="003418AF" w:rsidRPr="00E930C7">
        <w:rPr>
          <w:rFonts w:ascii="Verdana" w:hAnsi="Verdana"/>
          <w:bCs/>
          <w:sz w:val="20"/>
          <w:szCs w:val="20"/>
          <w:u w:val="single"/>
        </w:rPr>
        <w:t>newly</w:t>
      </w:r>
      <w:proofErr w:type="spellEnd"/>
      <w:r w:rsidR="003418AF" w:rsidRPr="00E930C7">
        <w:rPr>
          <w:rFonts w:ascii="Verdana" w:hAnsi="Verdana"/>
          <w:bCs/>
          <w:sz w:val="20"/>
          <w:szCs w:val="20"/>
          <w:u w:val="single"/>
        </w:rPr>
        <w:t xml:space="preserve"> </w:t>
      </w:r>
      <w:proofErr w:type="spellStart"/>
      <w:r w:rsidR="003418AF" w:rsidRPr="00E930C7">
        <w:rPr>
          <w:rFonts w:ascii="Verdana" w:hAnsi="Verdana"/>
          <w:bCs/>
          <w:sz w:val="20"/>
          <w:szCs w:val="20"/>
          <w:u w:val="single"/>
        </w:rPr>
        <w:t>founded</w:t>
      </w:r>
      <w:proofErr w:type="spellEnd"/>
      <w:r w:rsidR="003418AF" w:rsidRPr="00E930C7">
        <w:rPr>
          <w:rFonts w:ascii="Verdana" w:hAnsi="Verdana"/>
          <w:bCs/>
          <w:sz w:val="20"/>
          <w:szCs w:val="20"/>
          <w:u w:val="single"/>
        </w:rPr>
        <w:t xml:space="preserve"> Alliance </w:t>
      </w:r>
      <w:proofErr w:type="spellStart"/>
      <w:r w:rsidR="003418AF" w:rsidRPr="00E930C7">
        <w:rPr>
          <w:rFonts w:ascii="Verdana" w:hAnsi="Verdana"/>
          <w:bCs/>
          <w:sz w:val="20"/>
          <w:szCs w:val="20"/>
          <w:u w:val="single"/>
        </w:rPr>
        <w:t>for</w:t>
      </w:r>
      <w:proofErr w:type="spellEnd"/>
      <w:r w:rsidR="003418AF" w:rsidRPr="00E930C7">
        <w:rPr>
          <w:rFonts w:ascii="Verdana" w:hAnsi="Verdana"/>
          <w:bCs/>
          <w:sz w:val="20"/>
          <w:szCs w:val="20"/>
          <w:u w:val="single"/>
        </w:rPr>
        <w:t xml:space="preserve"> SPE</w:t>
      </w:r>
    </w:p>
    <w:p w:rsidR="00846687" w:rsidRPr="00E930C7" w:rsidRDefault="00571A31" w:rsidP="00846687">
      <w:pPr>
        <w:spacing w:line="440" w:lineRule="atLeast"/>
        <w:jc w:val="both"/>
        <w:rPr>
          <w:rFonts w:ascii="Verdana" w:hAnsi="Verdana"/>
          <w:b/>
          <w:bCs/>
          <w:sz w:val="32"/>
          <w:szCs w:val="32"/>
        </w:rPr>
      </w:pPr>
      <w:r w:rsidRPr="00E930C7">
        <w:rPr>
          <w:rFonts w:ascii="Verdana" w:hAnsi="Verdana"/>
          <w:b/>
          <w:bCs/>
          <w:sz w:val="32"/>
          <w:szCs w:val="32"/>
        </w:rPr>
        <w:t xml:space="preserve">SPE System Alliance: </w:t>
      </w:r>
      <w:r w:rsidR="003418AF" w:rsidRPr="00E930C7">
        <w:rPr>
          <w:rFonts w:ascii="Verdana" w:hAnsi="Verdana"/>
          <w:b/>
          <w:bCs/>
          <w:sz w:val="32"/>
          <w:szCs w:val="32"/>
        </w:rPr>
        <w:t xml:space="preserve">New </w:t>
      </w:r>
      <w:proofErr w:type="spellStart"/>
      <w:r w:rsidR="003418AF" w:rsidRPr="00E930C7">
        <w:rPr>
          <w:rFonts w:ascii="Verdana" w:hAnsi="Verdana"/>
          <w:b/>
          <w:bCs/>
          <w:sz w:val="32"/>
          <w:szCs w:val="32"/>
        </w:rPr>
        <w:t>alliance</w:t>
      </w:r>
      <w:proofErr w:type="spellEnd"/>
      <w:r w:rsidR="003418AF" w:rsidRPr="00E930C7">
        <w:rPr>
          <w:rFonts w:ascii="Verdana" w:hAnsi="Verdana"/>
          <w:b/>
          <w:bCs/>
          <w:sz w:val="32"/>
          <w:szCs w:val="32"/>
        </w:rPr>
        <w:t xml:space="preserve"> </w:t>
      </w:r>
      <w:proofErr w:type="spellStart"/>
      <w:r w:rsidR="003418AF" w:rsidRPr="00E930C7">
        <w:rPr>
          <w:rFonts w:ascii="Verdana" w:hAnsi="Verdana"/>
          <w:b/>
          <w:bCs/>
          <w:sz w:val="32"/>
          <w:szCs w:val="32"/>
        </w:rPr>
        <w:t>for</w:t>
      </w:r>
      <w:proofErr w:type="spellEnd"/>
      <w:r w:rsidR="003418AF" w:rsidRPr="00E930C7">
        <w:rPr>
          <w:rFonts w:ascii="Verdana" w:hAnsi="Verdana"/>
          <w:b/>
          <w:bCs/>
          <w:sz w:val="32"/>
          <w:szCs w:val="32"/>
        </w:rPr>
        <w:t xml:space="preserve"> </w:t>
      </w:r>
      <w:proofErr w:type="spellStart"/>
      <w:r w:rsidR="003418AF" w:rsidRPr="00E930C7">
        <w:rPr>
          <w:rFonts w:ascii="Verdana" w:hAnsi="Verdana"/>
          <w:b/>
          <w:bCs/>
          <w:sz w:val="32"/>
          <w:szCs w:val="32"/>
        </w:rPr>
        <w:t>the</w:t>
      </w:r>
      <w:proofErr w:type="spellEnd"/>
      <w:r w:rsidR="003418AF" w:rsidRPr="00E930C7">
        <w:rPr>
          <w:rFonts w:ascii="Verdana" w:hAnsi="Verdana"/>
          <w:b/>
          <w:bCs/>
          <w:sz w:val="32"/>
          <w:szCs w:val="32"/>
        </w:rPr>
        <w:t xml:space="preserve"> </w:t>
      </w:r>
      <w:proofErr w:type="spellStart"/>
      <w:r w:rsidR="003418AF" w:rsidRPr="00E930C7">
        <w:rPr>
          <w:rFonts w:ascii="Verdana" w:hAnsi="Verdana"/>
          <w:b/>
          <w:bCs/>
          <w:sz w:val="32"/>
          <w:szCs w:val="32"/>
        </w:rPr>
        <w:t>expansion</w:t>
      </w:r>
      <w:proofErr w:type="spellEnd"/>
      <w:r w:rsidR="003418AF" w:rsidRPr="00E930C7">
        <w:rPr>
          <w:rFonts w:ascii="Verdana" w:hAnsi="Verdana"/>
          <w:b/>
          <w:bCs/>
          <w:sz w:val="32"/>
          <w:szCs w:val="32"/>
        </w:rPr>
        <w:t xml:space="preserve"> of SPE </w:t>
      </w:r>
      <w:proofErr w:type="spellStart"/>
      <w:r w:rsidR="003418AF" w:rsidRPr="00E930C7">
        <w:rPr>
          <w:rFonts w:ascii="Verdana" w:hAnsi="Verdana"/>
          <w:b/>
          <w:bCs/>
          <w:sz w:val="32"/>
          <w:szCs w:val="32"/>
        </w:rPr>
        <w:t>technology</w:t>
      </w:r>
      <w:proofErr w:type="spellEnd"/>
    </w:p>
    <w:p w:rsidR="00846687" w:rsidRPr="00E930C7" w:rsidRDefault="00846687" w:rsidP="00846687">
      <w:pPr>
        <w:spacing w:line="360" w:lineRule="auto"/>
        <w:jc w:val="both"/>
        <w:rPr>
          <w:rFonts w:ascii="Verdana" w:hAnsi="Verdana"/>
          <w:b/>
          <w:bCs/>
          <w:iCs/>
          <w:sz w:val="20"/>
          <w:szCs w:val="20"/>
        </w:rPr>
      </w:pPr>
    </w:p>
    <w:p w:rsidR="003418AF" w:rsidRPr="003418AF" w:rsidRDefault="003418AF" w:rsidP="003418AF">
      <w:pPr>
        <w:spacing w:line="360" w:lineRule="auto"/>
        <w:jc w:val="both"/>
        <w:rPr>
          <w:rFonts w:ascii="Verdana" w:hAnsi="Verdana"/>
          <w:b/>
          <w:sz w:val="20"/>
          <w:szCs w:val="20"/>
        </w:rPr>
      </w:pPr>
      <w:r w:rsidRPr="00E930C7">
        <w:rPr>
          <w:rFonts w:ascii="Verdana" w:hAnsi="Verdana"/>
          <w:b/>
          <w:sz w:val="20"/>
          <w:szCs w:val="20"/>
        </w:rPr>
        <w:t>Cologne</w:t>
      </w:r>
      <w:r w:rsidR="00846687" w:rsidRPr="00E930C7">
        <w:rPr>
          <w:rFonts w:ascii="Verdana" w:hAnsi="Verdana"/>
          <w:b/>
          <w:sz w:val="20"/>
          <w:szCs w:val="20"/>
        </w:rPr>
        <w:t xml:space="preserve">, </w:t>
      </w:r>
      <w:r w:rsidR="007357EF" w:rsidRPr="00E930C7">
        <w:rPr>
          <w:rFonts w:ascii="Verdana" w:hAnsi="Verdana"/>
          <w:b/>
          <w:sz w:val="20"/>
          <w:szCs w:val="20"/>
        </w:rPr>
        <w:t>20</w:t>
      </w:r>
      <w:r w:rsidRPr="00E930C7">
        <w:rPr>
          <w:rFonts w:ascii="Verdana" w:hAnsi="Verdana"/>
          <w:b/>
          <w:sz w:val="20"/>
          <w:szCs w:val="20"/>
        </w:rPr>
        <w:t>th</w:t>
      </w:r>
      <w:r w:rsidR="00846687" w:rsidRPr="00E930C7">
        <w:rPr>
          <w:rFonts w:ascii="Verdana" w:hAnsi="Verdana"/>
          <w:b/>
          <w:sz w:val="20"/>
          <w:szCs w:val="20"/>
        </w:rPr>
        <w:t xml:space="preserve"> </w:t>
      </w:r>
      <w:r w:rsidR="007357EF" w:rsidRPr="00E930C7">
        <w:rPr>
          <w:rFonts w:ascii="Verdana" w:hAnsi="Verdana"/>
          <w:b/>
          <w:sz w:val="20"/>
          <w:szCs w:val="20"/>
        </w:rPr>
        <w:t>April</w:t>
      </w:r>
      <w:r w:rsidRPr="00E930C7">
        <w:rPr>
          <w:rFonts w:ascii="Verdana" w:hAnsi="Verdana"/>
          <w:b/>
          <w:sz w:val="20"/>
          <w:szCs w:val="20"/>
        </w:rPr>
        <w:t>,</w:t>
      </w:r>
      <w:r w:rsidR="007357EF" w:rsidRPr="00E930C7">
        <w:rPr>
          <w:rFonts w:ascii="Verdana" w:hAnsi="Verdana"/>
          <w:b/>
          <w:sz w:val="20"/>
          <w:szCs w:val="20"/>
        </w:rPr>
        <w:t xml:space="preserve"> </w:t>
      </w:r>
      <w:r w:rsidR="00846687" w:rsidRPr="00E930C7">
        <w:rPr>
          <w:rFonts w:ascii="Verdana" w:hAnsi="Verdana"/>
          <w:b/>
          <w:sz w:val="20"/>
          <w:szCs w:val="20"/>
        </w:rPr>
        <w:t>2020</w:t>
      </w:r>
      <w:r w:rsidRPr="00E930C7">
        <w:rPr>
          <w:rFonts w:ascii="Verdana" w:hAnsi="Verdana"/>
          <w:b/>
          <w:sz w:val="20"/>
          <w:szCs w:val="20"/>
        </w:rPr>
        <w:t xml:space="preserve">. The Multimedia Solutions (MMS) </w:t>
      </w:r>
      <w:proofErr w:type="spellStart"/>
      <w:r w:rsidRPr="00E930C7">
        <w:rPr>
          <w:rFonts w:ascii="Verdana" w:hAnsi="Verdana"/>
          <w:b/>
          <w:sz w:val="20"/>
          <w:szCs w:val="20"/>
        </w:rPr>
        <w:t>division</w:t>
      </w:r>
      <w:proofErr w:type="spellEnd"/>
      <w:r w:rsidRPr="00E930C7">
        <w:rPr>
          <w:rFonts w:ascii="Verdana" w:hAnsi="Verdana"/>
          <w:b/>
          <w:sz w:val="20"/>
          <w:szCs w:val="20"/>
        </w:rPr>
        <w:t xml:space="preserve"> of </w:t>
      </w:r>
      <w:proofErr w:type="spellStart"/>
      <w:r w:rsidRPr="00E930C7">
        <w:rPr>
          <w:rFonts w:ascii="Verdana" w:hAnsi="Verdana"/>
          <w:b/>
          <w:sz w:val="20"/>
          <w:szCs w:val="20"/>
        </w:rPr>
        <w:t>the</w:t>
      </w:r>
      <w:proofErr w:type="spellEnd"/>
      <w:r w:rsidRPr="00E930C7">
        <w:rPr>
          <w:rFonts w:ascii="Verdana" w:hAnsi="Verdana"/>
          <w:b/>
          <w:sz w:val="20"/>
          <w:szCs w:val="20"/>
        </w:rPr>
        <w:t xml:space="preserve"> </w:t>
      </w:r>
      <w:proofErr w:type="spellStart"/>
      <w:r w:rsidRPr="00E930C7">
        <w:rPr>
          <w:rFonts w:ascii="Verdana" w:hAnsi="Verdana"/>
          <w:b/>
          <w:sz w:val="20"/>
          <w:szCs w:val="20"/>
        </w:rPr>
        <w:t>Prysmian</w:t>
      </w:r>
      <w:proofErr w:type="spellEnd"/>
      <w:r w:rsidRPr="00E930C7">
        <w:rPr>
          <w:rFonts w:ascii="Verdana" w:hAnsi="Verdana"/>
          <w:b/>
          <w:sz w:val="20"/>
          <w:szCs w:val="20"/>
        </w:rPr>
        <w:t xml:space="preserve"> Group </w:t>
      </w:r>
      <w:proofErr w:type="spellStart"/>
      <w:r w:rsidRPr="00E930C7">
        <w:rPr>
          <w:rFonts w:ascii="Verdana" w:hAnsi="Verdana"/>
          <w:b/>
          <w:sz w:val="20"/>
          <w:szCs w:val="20"/>
        </w:rPr>
        <w:t>has</w:t>
      </w:r>
      <w:proofErr w:type="spellEnd"/>
      <w:r w:rsidRPr="00E930C7">
        <w:rPr>
          <w:rFonts w:ascii="Verdana" w:hAnsi="Verdana"/>
          <w:b/>
          <w:sz w:val="20"/>
          <w:szCs w:val="20"/>
        </w:rPr>
        <w:t xml:space="preserve"> </w:t>
      </w:r>
      <w:proofErr w:type="spellStart"/>
      <w:r w:rsidRPr="00E930C7">
        <w:rPr>
          <w:rFonts w:ascii="Verdana" w:hAnsi="Verdana"/>
          <w:b/>
          <w:sz w:val="20"/>
          <w:szCs w:val="20"/>
        </w:rPr>
        <w:t>joined</w:t>
      </w:r>
      <w:proofErr w:type="spellEnd"/>
      <w:r w:rsidRPr="00E930C7">
        <w:rPr>
          <w:rFonts w:ascii="Verdana" w:hAnsi="Verdana"/>
          <w:b/>
          <w:sz w:val="20"/>
          <w:szCs w:val="20"/>
        </w:rPr>
        <w:t xml:space="preserve"> </w:t>
      </w:r>
      <w:proofErr w:type="spellStart"/>
      <w:r w:rsidRPr="00E930C7">
        <w:rPr>
          <w:rFonts w:ascii="Verdana" w:hAnsi="Verdana"/>
          <w:b/>
          <w:sz w:val="20"/>
          <w:szCs w:val="20"/>
        </w:rPr>
        <w:t>the</w:t>
      </w:r>
      <w:proofErr w:type="spellEnd"/>
      <w:r w:rsidRPr="00E930C7">
        <w:rPr>
          <w:rFonts w:ascii="Verdana" w:hAnsi="Verdana"/>
          <w:b/>
          <w:sz w:val="20"/>
          <w:szCs w:val="20"/>
        </w:rPr>
        <w:t xml:space="preserve"> </w:t>
      </w:r>
      <w:proofErr w:type="spellStart"/>
      <w:r w:rsidRPr="00E930C7">
        <w:rPr>
          <w:rFonts w:ascii="Verdana" w:hAnsi="Verdana"/>
          <w:b/>
          <w:sz w:val="20"/>
          <w:szCs w:val="20"/>
        </w:rPr>
        <w:t>newly</w:t>
      </w:r>
      <w:proofErr w:type="spellEnd"/>
      <w:r w:rsidRPr="00E930C7">
        <w:rPr>
          <w:rFonts w:ascii="Verdana" w:hAnsi="Verdana"/>
          <w:b/>
          <w:sz w:val="20"/>
          <w:szCs w:val="20"/>
        </w:rPr>
        <w:t xml:space="preserve"> </w:t>
      </w:r>
      <w:proofErr w:type="spellStart"/>
      <w:r w:rsidRPr="00E930C7">
        <w:rPr>
          <w:rFonts w:ascii="Verdana" w:hAnsi="Verdana"/>
          <w:b/>
          <w:sz w:val="20"/>
          <w:szCs w:val="20"/>
        </w:rPr>
        <w:t>created</w:t>
      </w:r>
      <w:proofErr w:type="spellEnd"/>
      <w:r w:rsidRPr="00E930C7">
        <w:rPr>
          <w:rFonts w:ascii="Verdana" w:hAnsi="Verdana"/>
          <w:b/>
          <w:sz w:val="20"/>
          <w:szCs w:val="20"/>
        </w:rPr>
        <w:t xml:space="preserve"> SPE System Alliance. </w:t>
      </w:r>
      <w:r w:rsidR="006D17D2" w:rsidRPr="00E930C7">
        <w:rPr>
          <w:rFonts w:ascii="Verdana" w:hAnsi="Verdana"/>
          <w:b/>
          <w:sz w:val="20"/>
          <w:szCs w:val="20"/>
        </w:rPr>
        <w:t xml:space="preserve">In </w:t>
      </w:r>
      <w:proofErr w:type="spellStart"/>
      <w:r w:rsidR="006D17D2" w:rsidRPr="00E930C7">
        <w:rPr>
          <w:rFonts w:ascii="Verdana" w:hAnsi="Verdana"/>
          <w:b/>
          <w:sz w:val="20"/>
          <w:szCs w:val="20"/>
        </w:rPr>
        <w:t>this</w:t>
      </w:r>
      <w:proofErr w:type="spellEnd"/>
      <w:r w:rsidR="006D17D2" w:rsidRPr="00E930C7">
        <w:rPr>
          <w:rFonts w:ascii="Verdana" w:hAnsi="Verdana"/>
          <w:b/>
          <w:sz w:val="20"/>
          <w:szCs w:val="20"/>
        </w:rPr>
        <w:t xml:space="preserve"> open </w:t>
      </w:r>
      <w:proofErr w:type="spellStart"/>
      <w:r w:rsidR="006D17D2" w:rsidRPr="00E930C7">
        <w:rPr>
          <w:rFonts w:ascii="Verdana" w:hAnsi="Verdana"/>
          <w:b/>
          <w:sz w:val="20"/>
          <w:szCs w:val="20"/>
        </w:rPr>
        <w:t>alliance</w:t>
      </w:r>
      <w:proofErr w:type="spellEnd"/>
      <w:r w:rsidR="006D17D2" w:rsidRPr="00E930C7">
        <w:rPr>
          <w:rFonts w:ascii="Verdana" w:hAnsi="Verdana"/>
          <w:b/>
          <w:sz w:val="20"/>
          <w:szCs w:val="20"/>
        </w:rPr>
        <w:t xml:space="preserve">, </w:t>
      </w:r>
      <w:proofErr w:type="spellStart"/>
      <w:r w:rsidR="006D17D2" w:rsidRPr="00E930C7">
        <w:rPr>
          <w:rFonts w:ascii="Verdana" w:hAnsi="Verdana"/>
          <w:b/>
          <w:sz w:val="20"/>
          <w:szCs w:val="20"/>
        </w:rPr>
        <w:t>leading</w:t>
      </w:r>
      <w:proofErr w:type="spellEnd"/>
      <w:r w:rsidR="006D17D2" w:rsidRPr="00E930C7">
        <w:rPr>
          <w:rFonts w:ascii="Verdana" w:hAnsi="Verdana"/>
          <w:b/>
          <w:sz w:val="20"/>
          <w:szCs w:val="20"/>
        </w:rPr>
        <w:t xml:space="preserve"> technology companies from various industries and fields of application have come together to bundle their respective SPE expertise and ensure the target-oriented exchange of this knowledge. The partners in this group are pursuing the goal of driving the development of SPE further forward for the Industrial Internet of Things (</w:t>
      </w:r>
      <w:proofErr w:type="spellStart"/>
      <w:r w:rsidR="006D17D2" w:rsidRPr="00E930C7">
        <w:rPr>
          <w:rFonts w:ascii="Verdana" w:hAnsi="Verdana"/>
          <w:b/>
          <w:sz w:val="20"/>
          <w:szCs w:val="20"/>
        </w:rPr>
        <w:t>IIoT</w:t>
      </w:r>
      <w:proofErr w:type="spellEnd"/>
      <w:r w:rsidR="006D17D2" w:rsidRPr="00E930C7">
        <w:rPr>
          <w:rFonts w:ascii="Verdana" w:hAnsi="Verdana"/>
          <w:b/>
          <w:sz w:val="20"/>
          <w:szCs w:val="20"/>
        </w:rPr>
        <w:t xml:space="preserve">) and </w:t>
      </w:r>
      <w:proofErr w:type="spellStart"/>
      <w:r w:rsidR="006D17D2" w:rsidRPr="00E930C7">
        <w:rPr>
          <w:rFonts w:ascii="Verdana" w:hAnsi="Verdana"/>
          <w:b/>
          <w:sz w:val="20"/>
          <w:szCs w:val="20"/>
        </w:rPr>
        <w:t>may</w:t>
      </w:r>
      <w:proofErr w:type="spellEnd"/>
      <w:r w:rsidR="006D17D2" w:rsidRPr="00E930C7">
        <w:rPr>
          <w:rFonts w:ascii="Verdana" w:hAnsi="Verdana"/>
          <w:b/>
          <w:sz w:val="20"/>
          <w:szCs w:val="20"/>
        </w:rPr>
        <w:t xml:space="preserve"> </w:t>
      </w:r>
      <w:proofErr w:type="spellStart"/>
      <w:r w:rsidR="006D17D2" w:rsidRPr="00E930C7">
        <w:rPr>
          <w:rFonts w:ascii="Verdana" w:hAnsi="Verdana"/>
          <w:b/>
          <w:sz w:val="20"/>
          <w:szCs w:val="20"/>
        </w:rPr>
        <w:t>branch</w:t>
      </w:r>
      <w:proofErr w:type="spellEnd"/>
      <w:r w:rsidR="006D17D2" w:rsidRPr="00E930C7">
        <w:rPr>
          <w:rFonts w:ascii="Verdana" w:hAnsi="Verdana"/>
          <w:b/>
          <w:sz w:val="20"/>
          <w:szCs w:val="20"/>
        </w:rPr>
        <w:t xml:space="preserve"> out to other areas as well. </w:t>
      </w:r>
      <w:r w:rsidRPr="00E930C7">
        <w:rPr>
          <w:rFonts w:ascii="Verdana" w:hAnsi="Verdana"/>
          <w:b/>
          <w:sz w:val="20"/>
          <w:szCs w:val="20"/>
        </w:rPr>
        <w:t xml:space="preserve">The </w:t>
      </w:r>
      <w:proofErr w:type="spellStart"/>
      <w:r w:rsidRPr="00E930C7">
        <w:rPr>
          <w:rFonts w:ascii="Verdana" w:hAnsi="Verdana"/>
          <w:b/>
          <w:sz w:val="20"/>
          <w:szCs w:val="20"/>
        </w:rPr>
        <w:t>main</w:t>
      </w:r>
      <w:proofErr w:type="spellEnd"/>
      <w:r w:rsidRPr="00E930C7">
        <w:rPr>
          <w:rFonts w:ascii="Verdana" w:hAnsi="Verdana"/>
          <w:b/>
          <w:sz w:val="20"/>
          <w:szCs w:val="20"/>
        </w:rPr>
        <w:t xml:space="preserve"> </w:t>
      </w:r>
      <w:proofErr w:type="spellStart"/>
      <w:r w:rsidRPr="00E930C7">
        <w:rPr>
          <w:rFonts w:ascii="Verdana" w:hAnsi="Verdana"/>
          <w:b/>
          <w:sz w:val="20"/>
          <w:szCs w:val="20"/>
        </w:rPr>
        <w:t>initiators</w:t>
      </w:r>
      <w:proofErr w:type="spellEnd"/>
      <w:r w:rsidRPr="00E930C7">
        <w:rPr>
          <w:rFonts w:ascii="Verdana" w:hAnsi="Verdana"/>
          <w:b/>
          <w:sz w:val="20"/>
          <w:szCs w:val="20"/>
        </w:rPr>
        <w:t xml:space="preserve"> of </w:t>
      </w:r>
      <w:proofErr w:type="spellStart"/>
      <w:r w:rsidRPr="00E930C7">
        <w:rPr>
          <w:rFonts w:ascii="Verdana" w:hAnsi="Verdana"/>
          <w:b/>
          <w:sz w:val="20"/>
          <w:szCs w:val="20"/>
        </w:rPr>
        <w:t>the</w:t>
      </w:r>
      <w:proofErr w:type="spellEnd"/>
      <w:r w:rsidRPr="00E930C7">
        <w:rPr>
          <w:rFonts w:ascii="Verdana" w:hAnsi="Verdana"/>
          <w:b/>
          <w:sz w:val="20"/>
          <w:szCs w:val="20"/>
        </w:rPr>
        <w:t xml:space="preserve"> </w:t>
      </w:r>
      <w:proofErr w:type="spellStart"/>
      <w:r w:rsidRPr="00E930C7">
        <w:rPr>
          <w:rFonts w:ascii="Verdana" w:hAnsi="Verdana"/>
          <w:b/>
          <w:sz w:val="20"/>
          <w:szCs w:val="20"/>
        </w:rPr>
        <w:t>technology</w:t>
      </w:r>
      <w:proofErr w:type="spellEnd"/>
      <w:r w:rsidRPr="00E930C7">
        <w:rPr>
          <w:rFonts w:ascii="Verdana" w:hAnsi="Verdana"/>
          <w:b/>
          <w:sz w:val="20"/>
          <w:szCs w:val="20"/>
        </w:rPr>
        <w:t xml:space="preserve"> </w:t>
      </w:r>
      <w:proofErr w:type="spellStart"/>
      <w:r w:rsidRPr="00E930C7">
        <w:rPr>
          <w:rFonts w:ascii="Verdana" w:hAnsi="Verdana"/>
          <w:b/>
          <w:sz w:val="20"/>
          <w:szCs w:val="20"/>
        </w:rPr>
        <w:t>partnership</w:t>
      </w:r>
      <w:proofErr w:type="spellEnd"/>
      <w:r w:rsidRPr="00E930C7">
        <w:rPr>
          <w:rFonts w:ascii="Verdana" w:hAnsi="Verdana"/>
          <w:b/>
          <w:sz w:val="20"/>
          <w:szCs w:val="20"/>
        </w:rPr>
        <w:t xml:space="preserve"> </w:t>
      </w:r>
      <w:proofErr w:type="spellStart"/>
      <w:r w:rsidRPr="00E930C7">
        <w:rPr>
          <w:rFonts w:ascii="Verdana" w:hAnsi="Verdana"/>
          <w:b/>
          <w:sz w:val="20"/>
          <w:szCs w:val="20"/>
        </w:rPr>
        <w:t>are</w:t>
      </w:r>
      <w:proofErr w:type="spellEnd"/>
      <w:r w:rsidRPr="00E930C7">
        <w:rPr>
          <w:rFonts w:ascii="Verdana" w:hAnsi="Verdana"/>
          <w:b/>
          <w:sz w:val="20"/>
          <w:szCs w:val="20"/>
        </w:rPr>
        <w:t xml:space="preserve"> Phoenix Contact, Weidmüller, Reichle &amp; De Massari (R&amp;M), Fluke Networks and Telegärtner. In </w:t>
      </w:r>
      <w:proofErr w:type="spellStart"/>
      <w:r w:rsidRPr="00E930C7">
        <w:rPr>
          <w:rFonts w:ascii="Verdana" w:hAnsi="Verdana"/>
          <w:b/>
          <w:sz w:val="20"/>
          <w:szCs w:val="20"/>
        </w:rPr>
        <w:t>addition</w:t>
      </w:r>
      <w:proofErr w:type="spellEnd"/>
      <w:r w:rsidRPr="00E930C7">
        <w:rPr>
          <w:rFonts w:ascii="Verdana" w:hAnsi="Verdana"/>
          <w:b/>
          <w:sz w:val="20"/>
          <w:szCs w:val="20"/>
        </w:rPr>
        <w:t xml:space="preserve"> </w:t>
      </w:r>
      <w:proofErr w:type="spellStart"/>
      <w:r w:rsidRPr="00E930C7">
        <w:rPr>
          <w:rFonts w:ascii="Verdana" w:hAnsi="Verdana"/>
          <w:b/>
          <w:sz w:val="20"/>
          <w:szCs w:val="20"/>
        </w:rPr>
        <w:t>to</w:t>
      </w:r>
      <w:proofErr w:type="spellEnd"/>
      <w:r w:rsidRPr="00E930C7">
        <w:rPr>
          <w:rFonts w:ascii="Verdana" w:hAnsi="Verdana"/>
          <w:b/>
          <w:sz w:val="20"/>
          <w:szCs w:val="20"/>
        </w:rPr>
        <w:t xml:space="preserve"> MMS, </w:t>
      </w:r>
      <w:proofErr w:type="spellStart"/>
      <w:r w:rsidRPr="00E930C7">
        <w:rPr>
          <w:rFonts w:ascii="Verdana" w:hAnsi="Verdana"/>
          <w:b/>
          <w:sz w:val="20"/>
          <w:szCs w:val="20"/>
        </w:rPr>
        <w:t>Daetwyler</w:t>
      </w:r>
      <w:proofErr w:type="spellEnd"/>
      <w:r w:rsidRPr="00E930C7">
        <w:rPr>
          <w:rFonts w:ascii="Verdana" w:hAnsi="Verdana"/>
          <w:b/>
          <w:sz w:val="20"/>
          <w:szCs w:val="20"/>
        </w:rPr>
        <w:t xml:space="preserve">, </w:t>
      </w:r>
      <w:proofErr w:type="spellStart"/>
      <w:r w:rsidRPr="00E930C7">
        <w:rPr>
          <w:rFonts w:ascii="Verdana" w:hAnsi="Verdana"/>
          <w:b/>
          <w:sz w:val="20"/>
          <w:szCs w:val="20"/>
        </w:rPr>
        <w:t>Kyland</w:t>
      </w:r>
      <w:proofErr w:type="spellEnd"/>
      <w:r w:rsidRPr="00E930C7">
        <w:rPr>
          <w:rFonts w:ascii="Verdana" w:hAnsi="Verdana"/>
          <w:b/>
          <w:sz w:val="20"/>
          <w:szCs w:val="20"/>
        </w:rPr>
        <w:t xml:space="preserve">, Microchip Technology, Rosenberger, Sick, O-Ring and University4Industry </w:t>
      </w:r>
      <w:proofErr w:type="spellStart"/>
      <w:r w:rsidRPr="00E930C7">
        <w:rPr>
          <w:rFonts w:ascii="Verdana" w:hAnsi="Verdana"/>
          <w:b/>
          <w:sz w:val="20"/>
          <w:szCs w:val="20"/>
        </w:rPr>
        <w:t>have</w:t>
      </w:r>
      <w:proofErr w:type="spellEnd"/>
      <w:r w:rsidRPr="00E930C7">
        <w:rPr>
          <w:rFonts w:ascii="Verdana" w:hAnsi="Verdana"/>
          <w:b/>
          <w:sz w:val="20"/>
          <w:szCs w:val="20"/>
        </w:rPr>
        <w:t xml:space="preserve"> </w:t>
      </w:r>
      <w:proofErr w:type="spellStart"/>
      <w:r w:rsidRPr="00E930C7">
        <w:rPr>
          <w:rFonts w:ascii="Verdana" w:hAnsi="Verdana"/>
          <w:b/>
          <w:sz w:val="20"/>
          <w:szCs w:val="20"/>
        </w:rPr>
        <w:t>joined</w:t>
      </w:r>
      <w:proofErr w:type="spellEnd"/>
      <w:r w:rsidRPr="00E930C7">
        <w:rPr>
          <w:rFonts w:ascii="Verdana" w:hAnsi="Verdana"/>
          <w:b/>
          <w:sz w:val="20"/>
          <w:szCs w:val="20"/>
        </w:rPr>
        <w:t xml:space="preserve"> </w:t>
      </w:r>
      <w:proofErr w:type="spellStart"/>
      <w:r w:rsidRPr="00E930C7">
        <w:rPr>
          <w:rFonts w:ascii="Verdana" w:hAnsi="Verdana"/>
          <w:b/>
          <w:sz w:val="20"/>
          <w:szCs w:val="20"/>
        </w:rPr>
        <w:t>the</w:t>
      </w:r>
      <w:proofErr w:type="spellEnd"/>
      <w:r w:rsidRPr="00E930C7">
        <w:rPr>
          <w:rFonts w:ascii="Verdana" w:hAnsi="Verdana"/>
          <w:b/>
          <w:sz w:val="20"/>
          <w:szCs w:val="20"/>
        </w:rPr>
        <w:t xml:space="preserve"> </w:t>
      </w:r>
      <w:proofErr w:type="spellStart"/>
      <w:r w:rsidRPr="00E930C7">
        <w:rPr>
          <w:rFonts w:ascii="Verdana" w:hAnsi="Verdana"/>
          <w:b/>
          <w:sz w:val="20"/>
          <w:szCs w:val="20"/>
        </w:rPr>
        <w:t>alliance</w:t>
      </w:r>
      <w:proofErr w:type="spellEnd"/>
      <w:r w:rsidRPr="00E930C7">
        <w:rPr>
          <w:rFonts w:ascii="Verdana" w:hAnsi="Verdana"/>
          <w:b/>
          <w:sz w:val="20"/>
          <w:szCs w:val="20"/>
        </w:rPr>
        <w:t xml:space="preserve">. Further </w:t>
      </w:r>
      <w:proofErr w:type="spellStart"/>
      <w:r w:rsidRPr="00E930C7">
        <w:rPr>
          <w:rFonts w:ascii="Verdana" w:hAnsi="Verdana"/>
          <w:b/>
          <w:sz w:val="20"/>
          <w:szCs w:val="20"/>
        </w:rPr>
        <w:t>information</w:t>
      </w:r>
      <w:proofErr w:type="spellEnd"/>
      <w:r w:rsidRPr="00E930C7">
        <w:rPr>
          <w:rFonts w:ascii="Verdana" w:hAnsi="Verdana"/>
          <w:b/>
          <w:sz w:val="20"/>
          <w:szCs w:val="20"/>
        </w:rPr>
        <w:t xml:space="preserve"> </w:t>
      </w:r>
      <w:proofErr w:type="spellStart"/>
      <w:r w:rsidRPr="00E930C7">
        <w:rPr>
          <w:rFonts w:ascii="Verdana" w:hAnsi="Verdana"/>
          <w:b/>
          <w:sz w:val="20"/>
          <w:szCs w:val="20"/>
        </w:rPr>
        <w:t>is</w:t>
      </w:r>
      <w:proofErr w:type="spellEnd"/>
      <w:r w:rsidRPr="00E930C7">
        <w:rPr>
          <w:rFonts w:ascii="Verdana" w:hAnsi="Verdana"/>
          <w:b/>
          <w:sz w:val="20"/>
          <w:szCs w:val="20"/>
        </w:rPr>
        <w:t xml:space="preserve"> </w:t>
      </w:r>
      <w:proofErr w:type="spellStart"/>
      <w:r w:rsidRPr="00E930C7">
        <w:rPr>
          <w:rFonts w:ascii="Verdana" w:hAnsi="Verdana"/>
          <w:b/>
          <w:sz w:val="20"/>
          <w:szCs w:val="20"/>
        </w:rPr>
        <w:t>available</w:t>
      </w:r>
      <w:proofErr w:type="spellEnd"/>
      <w:r w:rsidRPr="00E930C7">
        <w:rPr>
          <w:rFonts w:ascii="Verdana" w:hAnsi="Verdana"/>
          <w:b/>
          <w:sz w:val="20"/>
          <w:szCs w:val="20"/>
        </w:rPr>
        <w:t xml:space="preserve"> at </w:t>
      </w:r>
      <w:hyperlink r:id="rId8" w:history="1">
        <w:r w:rsidRPr="00E930C7">
          <w:rPr>
            <w:rStyle w:val="Hyperlink"/>
            <w:rFonts w:ascii="Verdana" w:hAnsi="Verdana" w:cs="Courier"/>
            <w:b/>
            <w:sz w:val="20"/>
            <w:szCs w:val="20"/>
          </w:rPr>
          <w:t>www.singlepairethernet.com</w:t>
        </w:r>
      </w:hyperlink>
      <w:r w:rsidRPr="00E930C7">
        <w:rPr>
          <w:rFonts w:ascii="Verdana" w:hAnsi="Verdana"/>
          <w:b/>
          <w:sz w:val="20"/>
          <w:szCs w:val="20"/>
        </w:rPr>
        <w:t xml:space="preserve"> .</w:t>
      </w:r>
      <w:r w:rsidRPr="003418AF">
        <w:rPr>
          <w:rFonts w:ascii="Verdana" w:hAnsi="Verdana"/>
          <w:b/>
          <w:sz w:val="20"/>
          <w:szCs w:val="20"/>
        </w:rPr>
        <w:t xml:space="preserve"> </w:t>
      </w:r>
    </w:p>
    <w:p w:rsidR="00A03BB5" w:rsidRDefault="00A03BB5" w:rsidP="00F00CC9">
      <w:pPr>
        <w:spacing w:line="360" w:lineRule="auto"/>
        <w:jc w:val="both"/>
        <w:rPr>
          <w:rFonts w:ascii="Verdana" w:hAnsi="Verdana"/>
          <w:bCs/>
          <w:iCs/>
          <w:sz w:val="20"/>
          <w:szCs w:val="20"/>
        </w:rPr>
      </w:pPr>
    </w:p>
    <w:p w:rsidR="003418AF" w:rsidRPr="003418AF" w:rsidRDefault="003418AF" w:rsidP="003418AF">
      <w:pPr>
        <w:spacing w:line="360" w:lineRule="auto"/>
        <w:jc w:val="both"/>
        <w:rPr>
          <w:rFonts w:ascii="Verdana" w:hAnsi="Verdana"/>
          <w:b/>
          <w:bCs/>
          <w:iCs/>
          <w:sz w:val="20"/>
          <w:szCs w:val="20"/>
          <w:lang w:val="en-US"/>
        </w:rPr>
      </w:pPr>
      <w:r w:rsidRPr="003418AF">
        <w:rPr>
          <w:rFonts w:ascii="Verdana" w:hAnsi="Verdana"/>
          <w:b/>
          <w:bCs/>
          <w:iCs/>
          <w:sz w:val="20"/>
          <w:szCs w:val="20"/>
          <w:lang w:val="en-US"/>
        </w:rPr>
        <w:t>Synergies in the SPE System Alliance</w:t>
      </w:r>
    </w:p>
    <w:p w:rsidR="003418AF" w:rsidRPr="003418AF" w:rsidRDefault="003418AF" w:rsidP="003418AF">
      <w:pPr>
        <w:spacing w:line="360" w:lineRule="auto"/>
        <w:jc w:val="both"/>
        <w:rPr>
          <w:rFonts w:ascii="Verdana" w:hAnsi="Verdana"/>
          <w:iCs/>
          <w:sz w:val="20"/>
          <w:szCs w:val="20"/>
          <w:lang w:val="en-US"/>
        </w:rPr>
      </w:pPr>
      <w:r w:rsidRPr="003418AF">
        <w:rPr>
          <w:rFonts w:ascii="Verdana" w:hAnsi="Verdana"/>
          <w:iCs/>
          <w:sz w:val="20"/>
          <w:szCs w:val="20"/>
          <w:lang w:val="en-US"/>
        </w:rPr>
        <w:t xml:space="preserve">The network aims to collaborate on the technological challenges faced when implementing SPE in </w:t>
      </w:r>
      <w:proofErr w:type="spellStart"/>
      <w:r w:rsidRPr="003418AF">
        <w:rPr>
          <w:rFonts w:ascii="Verdana" w:hAnsi="Verdana"/>
          <w:iCs/>
          <w:sz w:val="20"/>
          <w:szCs w:val="20"/>
          <w:lang w:val="en-US"/>
        </w:rPr>
        <w:t>IIoT</w:t>
      </w:r>
      <w:proofErr w:type="spellEnd"/>
      <w:r w:rsidRPr="003418AF">
        <w:rPr>
          <w:rFonts w:ascii="Verdana" w:hAnsi="Verdana"/>
          <w:iCs/>
          <w:sz w:val="20"/>
          <w:szCs w:val="20"/>
          <w:lang w:val="en-US"/>
        </w:rPr>
        <w:t xml:space="preserve"> applications. The goal of the companies is to accelerate their own development of expertise in SPE technology and to allow it to be implemented faster and more reliably in their products.</w:t>
      </w:r>
    </w:p>
    <w:p w:rsidR="003418AF" w:rsidRPr="003418AF" w:rsidRDefault="003418AF" w:rsidP="003418AF">
      <w:pPr>
        <w:spacing w:line="360" w:lineRule="auto"/>
        <w:jc w:val="both"/>
        <w:rPr>
          <w:rFonts w:ascii="Verdana" w:hAnsi="Verdana"/>
          <w:iCs/>
          <w:sz w:val="20"/>
          <w:szCs w:val="20"/>
          <w:lang w:val="en-US"/>
        </w:rPr>
      </w:pPr>
    </w:p>
    <w:p w:rsidR="003418AF" w:rsidRPr="003418AF" w:rsidRDefault="003418AF" w:rsidP="003418AF">
      <w:pPr>
        <w:spacing w:line="360" w:lineRule="auto"/>
        <w:jc w:val="both"/>
        <w:rPr>
          <w:rFonts w:ascii="Verdana" w:hAnsi="Verdana"/>
          <w:iCs/>
          <w:sz w:val="20"/>
          <w:szCs w:val="20"/>
          <w:lang w:val="en-US"/>
        </w:rPr>
      </w:pPr>
      <w:r w:rsidRPr="003418AF">
        <w:rPr>
          <w:rFonts w:ascii="Verdana" w:hAnsi="Verdana"/>
          <w:iCs/>
          <w:sz w:val="20"/>
          <w:szCs w:val="20"/>
          <w:lang w:val="en-US"/>
        </w:rPr>
        <w:t>Through this orientation toward a cross-industry and cross-application exchange platform, companies from all future SPE ecosystems are coming together. The focus is not, however, on individual aspects such as connection technology. Instead, the focus is on questions and challenges that continue to exist with many market participants in connection with SPE. Rule exchange formats and collaborative project activities provide the freedom for close cooperation. The members are already working together in the first sub-communities, in the fields of connection technology, standardization, SPE use-case reports, and even for cable solutions, among others.</w:t>
      </w:r>
    </w:p>
    <w:p w:rsidR="00486021" w:rsidRDefault="00486021" w:rsidP="00F00CC9">
      <w:pPr>
        <w:spacing w:line="360" w:lineRule="auto"/>
        <w:jc w:val="both"/>
        <w:rPr>
          <w:rFonts w:ascii="Verdana" w:hAnsi="Verdana"/>
          <w:bCs/>
          <w:iCs/>
          <w:sz w:val="20"/>
          <w:szCs w:val="20"/>
        </w:rPr>
      </w:pPr>
    </w:p>
    <w:p w:rsidR="00AA6835" w:rsidRPr="00AA6835" w:rsidRDefault="00AA6835" w:rsidP="00AA6835">
      <w:pPr>
        <w:spacing w:line="360" w:lineRule="auto"/>
        <w:jc w:val="both"/>
        <w:rPr>
          <w:rFonts w:ascii="Verdana" w:hAnsi="Verdana"/>
          <w:bCs/>
          <w:iCs/>
          <w:sz w:val="20"/>
          <w:szCs w:val="20"/>
        </w:rPr>
      </w:pPr>
      <w:r w:rsidRPr="00E930C7">
        <w:rPr>
          <w:rFonts w:ascii="Verdana" w:hAnsi="Verdana"/>
          <w:bCs/>
          <w:iCs/>
          <w:sz w:val="20"/>
          <w:szCs w:val="20"/>
        </w:rPr>
        <w:t xml:space="preserve">"The potential of SPE </w:t>
      </w:r>
      <w:proofErr w:type="spellStart"/>
      <w:r w:rsidRPr="00E930C7">
        <w:rPr>
          <w:rFonts w:ascii="Verdana" w:hAnsi="Verdana"/>
          <w:bCs/>
          <w:iCs/>
          <w:sz w:val="20"/>
          <w:szCs w:val="20"/>
        </w:rPr>
        <w:t>technology</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is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enormous</w:t>
      </w:r>
      <w:proofErr w:type="spellEnd"/>
      <w:r w:rsidRPr="00E930C7">
        <w:rPr>
          <w:rFonts w:ascii="Verdana" w:hAnsi="Verdana"/>
          <w:bCs/>
          <w:iCs/>
          <w:sz w:val="20"/>
          <w:szCs w:val="20"/>
        </w:rPr>
        <w:t xml:space="preserve">. The </w:t>
      </w:r>
      <w:proofErr w:type="spellStart"/>
      <w:r w:rsidRPr="00E930C7">
        <w:rPr>
          <w:rFonts w:ascii="Verdana" w:hAnsi="Verdana"/>
          <w:bCs/>
          <w:iCs/>
          <w:sz w:val="20"/>
          <w:szCs w:val="20"/>
        </w:rPr>
        <w:t>foundation</w:t>
      </w:r>
      <w:proofErr w:type="spellEnd"/>
      <w:r w:rsidRPr="00E930C7">
        <w:rPr>
          <w:rFonts w:ascii="Verdana" w:hAnsi="Verdana"/>
          <w:bCs/>
          <w:iCs/>
          <w:sz w:val="20"/>
          <w:szCs w:val="20"/>
        </w:rPr>
        <w:t xml:space="preserve"> of </w:t>
      </w:r>
      <w:proofErr w:type="spellStart"/>
      <w:r w:rsidRPr="00E930C7">
        <w:rPr>
          <w:rFonts w:ascii="Verdana" w:hAnsi="Verdana"/>
          <w:bCs/>
          <w:iCs/>
          <w:sz w:val="20"/>
          <w:szCs w:val="20"/>
        </w:rPr>
        <w:t>the</w:t>
      </w:r>
      <w:proofErr w:type="spellEnd"/>
      <w:r w:rsidRPr="00E930C7">
        <w:rPr>
          <w:rFonts w:ascii="Verdana" w:hAnsi="Verdana"/>
          <w:bCs/>
          <w:iCs/>
          <w:sz w:val="20"/>
          <w:szCs w:val="20"/>
        </w:rPr>
        <w:t xml:space="preserve"> SPE System Alliance </w:t>
      </w:r>
      <w:proofErr w:type="spellStart"/>
      <w:r w:rsidRPr="00E930C7">
        <w:rPr>
          <w:rFonts w:ascii="Verdana" w:hAnsi="Verdana"/>
          <w:bCs/>
          <w:iCs/>
          <w:sz w:val="20"/>
          <w:szCs w:val="20"/>
        </w:rPr>
        <w:t>is</w:t>
      </w:r>
      <w:proofErr w:type="spellEnd"/>
      <w:r w:rsidRPr="00E930C7">
        <w:rPr>
          <w:rFonts w:ascii="Verdana" w:hAnsi="Verdana"/>
          <w:bCs/>
          <w:iCs/>
          <w:sz w:val="20"/>
          <w:szCs w:val="20"/>
        </w:rPr>
        <w:t xml:space="preserve"> an </w:t>
      </w:r>
      <w:proofErr w:type="spellStart"/>
      <w:r w:rsidRPr="00E930C7">
        <w:rPr>
          <w:rFonts w:ascii="Verdana" w:hAnsi="Verdana"/>
          <w:bCs/>
          <w:iCs/>
          <w:sz w:val="20"/>
          <w:szCs w:val="20"/>
        </w:rPr>
        <w:t>important</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milestone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to</w:t>
      </w:r>
      <w:proofErr w:type="spellEnd"/>
      <w:r w:rsidRPr="00E930C7">
        <w:rPr>
          <w:rFonts w:ascii="Verdana" w:hAnsi="Verdana"/>
          <w:bCs/>
          <w:iCs/>
          <w:sz w:val="20"/>
          <w:szCs w:val="20"/>
        </w:rPr>
        <w:t xml:space="preserve"> fully </w:t>
      </w:r>
      <w:proofErr w:type="spellStart"/>
      <w:r w:rsidRPr="00E930C7">
        <w:rPr>
          <w:rFonts w:ascii="Verdana" w:hAnsi="Verdana"/>
          <w:bCs/>
          <w:iCs/>
          <w:sz w:val="20"/>
          <w:szCs w:val="20"/>
        </w:rPr>
        <w:t>exploit</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this</w:t>
      </w:r>
      <w:proofErr w:type="spellEnd"/>
      <w:r w:rsidRPr="00E930C7">
        <w:rPr>
          <w:rFonts w:ascii="Verdana" w:hAnsi="Verdana"/>
          <w:bCs/>
          <w:iCs/>
          <w:sz w:val="20"/>
          <w:szCs w:val="20"/>
        </w:rPr>
        <w:t xml:space="preserve"> potential. The Alliance </w:t>
      </w:r>
      <w:proofErr w:type="spellStart"/>
      <w:r w:rsidRPr="00E930C7">
        <w:rPr>
          <w:rFonts w:ascii="Verdana" w:hAnsi="Verdana"/>
          <w:bCs/>
          <w:iCs/>
          <w:sz w:val="20"/>
          <w:szCs w:val="20"/>
        </w:rPr>
        <w:t>brings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together</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experts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from</w:t>
      </w:r>
      <w:proofErr w:type="spellEnd"/>
      <w:r w:rsidRPr="00E930C7">
        <w:rPr>
          <w:rFonts w:ascii="Verdana" w:hAnsi="Verdana"/>
          <w:bCs/>
          <w:iCs/>
          <w:sz w:val="20"/>
          <w:szCs w:val="20"/>
        </w:rPr>
        <w:t xml:space="preserve"> </w:t>
      </w:r>
      <w:r w:rsidRPr="00E930C7">
        <w:rPr>
          <w:rFonts w:ascii="Verdana" w:hAnsi="Verdana"/>
          <w:bCs/>
          <w:iCs/>
          <w:sz w:val="20"/>
          <w:szCs w:val="20"/>
        </w:rPr>
        <w:lastRenderedPageBreak/>
        <w:t xml:space="preserve">different </w:t>
      </w:r>
      <w:proofErr w:type="spellStart"/>
      <w:r w:rsidRPr="00E930C7">
        <w:rPr>
          <w:rFonts w:ascii="Verdana" w:hAnsi="Verdana"/>
          <w:bCs/>
          <w:iCs/>
          <w:sz w:val="20"/>
          <w:szCs w:val="20"/>
        </w:rPr>
        <w:t>fields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for</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constructive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exchange</w:t>
      </w:r>
      <w:proofErr w:type="spellEnd"/>
      <w:r w:rsidRPr="00E930C7">
        <w:rPr>
          <w:rFonts w:ascii="Verdana" w:hAnsi="Verdana"/>
          <w:bCs/>
          <w:iCs/>
          <w:sz w:val="20"/>
          <w:szCs w:val="20"/>
        </w:rPr>
        <w:t xml:space="preserve"> and </w:t>
      </w:r>
      <w:proofErr w:type="spellStart"/>
      <w:r w:rsidRPr="00E930C7">
        <w:rPr>
          <w:rFonts w:ascii="Verdana" w:hAnsi="Verdana"/>
          <w:bCs/>
          <w:iCs/>
          <w:sz w:val="20"/>
          <w:szCs w:val="20"/>
        </w:rPr>
        <w:t>promotes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the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joint</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development</w:t>
      </w:r>
      <w:proofErr w:type="spellEnd"/>
      <w:r w:rsidRPr="00E930C7">
        <w:rPr>
          <w:rFonts w:ascii="Verdana" w:hAnsi="Verdana"/>
          <w:bCs/>
          <w:iCs/>
          <w:sz w:val="20"/>
          <w:szCs w:val="20"/>
        </w:rPr>
        <w:t xml:space="preserve"> of </w:t>
      </w:r>
      <w:proofErr w:type="spellStart"/>
      <w:r w:rsidRPr="00E930C7">
        <w:rPr>
          <w:rFonts w:ascii="Verdana" w:hAnsi="Verdana"/>
          <w:bCs/>
          <w:iCs/>
          <w:sz w:val="20"/>
          <w:szCs w:val="20"/>
        </w:rPr>
        <w:t>solutions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for</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the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implementation</w:t>
      </w:r>
      <w:proofErr w:type="spellEnd"/>
      <w:r w:rsidRPr="00E930C7">
        <w:rPr>
          <w:rFonts w:ascii="Verdana" w:hAnsi="Verdana"/>
          <w:bCs/>
          <w:iCs/>
          <w:sz w:val="20"/>
          <w:szCs w:val="20"/>
        </w:rPr>
        <w:t xml:space="preserve"> of SPE in </w:t>
      </w:r>
      <w:proofErr w:type="spellStart"/>
      <w:r w:rsidRPr="00E930C7">
        <w:rPr>
          <w:rFonts w:ascii="Verdana" w:hAnsi="Verdana"/>
          <w:bCs/>
          <w:iCs/>
          <w:sz w:val="20"/>
          <w:szCs w:val="20"/>
        </w:rPr>
        <w:t>IIoT</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applications</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says</w:t>
      </w:r>
      <w:proofErr w:type="spellEnd"/>
      <w:r w:rsidRPr="00E930C7">
        <w:rPr>
          <w:rFonts w:ascii="Verdana" w:hAnsi="Verdana"/>
          <w:bCs/>
          <w:iCs/>
          <w:sz w:val="20"/>
          <w:szCs w:val="20"/>
        </w:rPr>
        <w:t xml:space="preserve"> Andreas Wassmuth, Business Development </w:t>
      </w:r>
      <w:proofErr w:type="spellStart"/>
      <w:r w:rsidRPr="00E930C7">
        <w:rPr>
          <w:rFonts w:ascii="Verdana" w:hAnsi="Verdana"/>
          <w:bCs/>
          <w:iCs/>
          <w:sz w:val="20"/>
          <w:szCs w:val="20"/>
        </w:rPr>
        <w:t>Director</w:t>
      </w:r>
      <w:proofErr w:type="spellEnd"/>
      <w:r w:rsidRPr="00E930C7">
        <w:rPr>
          <w:rFonts w:ascii="Verdana" w:hAnsi="Verdana"/>
          <w:bCs/>
          <w:iCs/>
          <w:sz w:val="20"/>
          <w:szCs w:val="20"/>
        </w:rPr>
        <w:t xml:space="preserve"> of </w:t>
      </w:r>
      <w:proofErr w:type="spellStart"/>
      <w:r w:rsidRPr="00E930C7">
        <w:rPr>
          <w:rFonts w:ascii="Verdana" w:hAnsi="Verdana"/>
          <w:bCs/>
          <w:iCs/>
          <w:sz w:val="20"/>
          <w:szCs w:val="20"/>
        </w:rPr>
        <w:t>the</w:t>
      </w:r>
      <w:proofErr w:type="spellEnd"/>
      <w:r w:rsidRPr="00E930C7">
        <w:rPr>
          <w:rFonts w:ascii="Verdana" w:hAnsi="Verdana"/>
          <w:bCs/>
          <w:iCs/>
          <w:sz w:val="20"/>
          <w:szCs w:val="20"/>
        </w:rPr>
        <w:t xml:space="preserve"> MMS Business Unit. "</w:t>
      </w:r>
      <w:proofErr w:type="spellStart"/>
      <w:r w:rsidRPr="00E930C7">
        <w:rPr>
          <w:rFonts w:ascii="Verdana" w:hAnsi="Verdana"/>
          <w:bCs/>
          <w:iCs/>
          <w:sz w:val="20"/>
          <w:szCs w:val="20"/>
        </w:rPr>
        <w:t>We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are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pleased</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to</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be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able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to</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play</w:t>
      </w:r>
      <w:proofErr w:type="spellEnd"/>
      <w:r w:rsidRPr="00E930C7">
        <w:rPr>
          <w:rFonts w:ascii="Verdana" w:hAnsi="Verdana"/>
          <w:bCs/>
          <w:iCs/>
          <w:sz w:val="20"/>
          <w:szCs w:val="20"/>
        </w:rPr>
        <w:t xml:space="preserve"> an </w:t>
      </w:r>
      <w:proofErr w:type="spellStart"/>
      <w:r w:rsidRPr="00E930C7">
        <w:rPr>
          <w:rFonts w:ascii="Verdana" w:hAnsi="Verdana"/>
          <w:bCs/>
          <w:iCs/>
          <w:sz w:val="20"/>
          <w:szCs w:val="20"/>
        </w:rPr>
        <w:t>active</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role</w:t>
      </w:r>
      <w:proofErr w:type="spellEnd"/>
      <w:r w:rsidRPr="00E930C7">
        <w:rPr>
          <w:rFonts w:ascii="Verdana" w:hAnsi="Verdana"/>
          <w:bCs/>
          <w:iCs/>
          <w:sz w:val="20"/>
          <w:szCs w:val="20"/>
        </w:rPr>
        <w:t xml:space="preserve"> in </w:t>
      </w:r>
      <w:proofErr w:type="spellStart"/>
      <w:r w:rsidRPr="00E930C7">
        <w:rPr>
          <w:rFonts w:ascii="Verdana" w:hAnsi="Verdana"/>
          <w:bCs/>
          <w:iCs/>
          <w:sz w:val="20"/>
          <w:szCs w:val="20"/>
        </w:rPr>
        <w:t>the</w:t>
      </w:r>
      <w:proofErr w:type="spellEnd"/>
      <w:r w:rsidRPr="00E930C7">
        <w:rPr>
          <w:rFonts w:ascii="Verdana" w:hAnsi="Verdana"/>
          <w:bCs/>
          <w:iCs/>
          <w:sz w:val="20"/>
          <w:szCs w:val="20"/>
        </w:rPr>
        <w:t xml:space="preserve"> rapid and </w:t>
      </w:r>
      <w:proofErr w:type="spellStart"/>
      <w:r w:rsidRPr="00E930C7">
        <w:rPr>
          <w:rFonts w:ascii="Verdana" w:hAnsi="Verdana"/>
          <w:bCs/>
          <w:iCs/>
          <w:sz w:val="20"/>
          <w:szCs w:val="20"/>
        </w:rPr>
        <w:t>broad</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establishment</w:t>
      </w:r>
      <w:proofErr w:type="spellEnd"/>
      <w:r w:rsidRPr="00E930C7">
        <w:rPr>
          <w:rFonts w:ascii="Verdana" w:hAnsi="Verdana"/>
          <w:bCs/>
          <w:iCs/>
          <w:sz w:val="20"/>
          <w:szCs w:val="20"/>
        </w:rPr>
        <w:t xml:space="preserve"> of SPE </w:t>
      </w:r>
      <w:proofErr w:type="spellStart"/>
      <w:r w:rsidRPr="00E930C7">
        <w:rPr>
          <w:rFonts w:ascii="Verdana" w:hAnsi="Verdana"/>
          <w:bCs/>
          <w:iCs/>
          <w:sz w:val="20"/>
          <w:szCs w:val="20"/>
        </w:rPr>
        <w:t>through</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our</w:t>
      </w:r>
      <w:proofErr w:type="spellEnd"/>
      <w:r w:rsidRPr="00E930C7">
        <w:rPr>
          <w:rFonts w:ascii="Verdana" w:hAnsi="Verdana"/>
          <w:bCs/>
          <w:iCs/>
          <w:sz w:val="20"/>
          <w:szCs w:val="20"/>
        </w:rPr>
        <w:t xml:space="preserve"> </w:t>
      </w:r>
      <w:proofErr w:type="spellStart"/>
      <w:r w:rsidRPr="00E930C7">
        <w:rPr>
          <w:rFonts w:ascii="Verdana" w:hAnsi="Verdana"/>
          <w:bCs/>
          <w:iCs/>
          <w:sz w:val="20"/>
          <w:szCs w:val="20"/>
        </w:rPr>
        <w:t>membership</w:t>
      </w:r>
      <w:proofErr w:type="spellEnd"/>
      <w:r w:rsidRPr="00E930C7">
        <w:rPr>
          <w:rFonts w:ascii="Verdana" w:hAnsi="Verdana"/>
          <w:bCs/>
          <w:iCs/>
          <w:sz w:val="20"/>
          <w:szCs w:val="20"/>
        </w:rPr>
        <w:t>".</w:t>
      </w:r>
    </w:p>
    <w:p w:rsidR="00AA6835" w:rsidRPr="00AA6835" w:rsidRDefault="00AA6835" w:rsidP="00AA6835">
      <w:pPr>
        <w:spacing w:line="360" w:lineRule="auto"/>
        <w:jc w:val="both"/>
        <w:rPr>
          <w:rFonts w:ascii="Verdana" w:hAnsi="Verdana"/>
          <w:bCs/>
          <w:iCs/>
          <w:sz w:val="20"/>
          <w:szCs w:val="20"/>
        </w:rPr>
      </w:pPr>
    </w:p>
    <w:p w:rsidR="003418AF" w:rsidRPr="003418AF" w:rsidRDefault="003418AF" w:rsidP="003418AF">
      <w:pPr>
        <w:spacing w:line="360" w:lineRule="auto"/>
        <w:jc w:val="both"/>
        <w:rPr>
          <w:rFonts w:ascii="Verdana" w:hAnsi="Verdana"/>
          <w:b/>
          <w:iCs/>
          <w:sz w:val="20"/>
          <w:szCs w:val="20"/>
          <w:lang w:val="en-US"/>
        </w:rPr>
      </w:pPr>
      <w:r w:rsidRPr="003418AF">
        <w:rPr>
          <w:rFonts w:ascii="Verdana" w:hAnsi="Verdana"/>
          <w:b/>
          <w:iCs/>
          <w:sz w:val="20"/>
          <w:szCs w:val="20"/>
          <w:lang w:val="en-US"/>
        </w:rPr>
        <w:t>Thanks to its broad lineup, the SPE System Alliance already covers a large range of applications and fields of application:</w:t>
      </w:r>
    </w:p>
    <w:p w:rsidR="0004528F" w:rsidRPr="0004528F" w:rsidRDefault="0004528F" w:rsidP="00F00CC9">
      <w:pPr>
        <w:spacing w:line="360" w:lineRule="auto"/>
        <w:jc w:val="both"/>
        <w:rPr>
          <w:rFonts w:ascii="Verdana" w:hAnsi="Verdana"/>
          <w:bCs/>
          <w:iCs/>
          <w:sz w:val="20"/>
          <w:szCs w:val="20"/>
        </w:rPr>
      </w:pPr>
    </w:p>
    <w:p w:rsidR="003418AF" w:rsidRPr="003418AF" w:rsidRDefault="003418AF" w:rsidP="003418AF">
      <w:pPr>
        <w:spacing w:line="360" w:lineRule="auto"/>
        <w:jc w:val="both"/>
        <w:rPr>
          <w:rFonts w:ascii="Verdana" w:hAnsi="Verdana"/>
          <w:b/>
          <w:bCs/>
          <w:iCs/>
          <w:sz w:val="20"/>
          <w:szCs w:val="20"/>
          <w:lang w:val="en-US"/>
        </w:rPr>
      </w:pPr>
      <w:r w:rsidRPr="003418AF">
        <w:rPr>
          <w:rFonts w:ascii="Verdana" w:hAnsi="Verdana"/>
          <w:b/>
          <w:bCs/>
          <w:iCs/>
          <w:sz w:val="20"/>
          <w:szCs w:val="20"/>
          <w:lang w:val="en-US"/>
        </w:rPr>
        <w:t>SPE in the automotive field – impetus from the automotive industry</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Ethernet systems are being installed increasingly in the vehicle generations of today. Through the networking of control devices and sensors, further innovations in the fields of driver assistance systems such as LiDAR, high-resolution displays, autonomous driving, 4K cameras, and infotainment can be realized. </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The development of the automobile Ethernet has led to the creation of two IEEE standards: 100BASE-T1 (100 Mbps based on </w:t>
      </w:r>
      <w:proofErr w:type="spellStart"/>
      <w:r w:rsidRPr="003418AF">
        <w:rPr>
          <w:rFonts w:ascii="Verdana" w:hAnsi="Verdana"/>
          <w:bCs/>
          <w:iCs/>
          <w:sz w:val="20"/>
          <w:szCs w:val="20"/>
          <w:lang w:val="en-US"/>
        </w:rPr>
        <w:t>BroadR</w:t>
      </w:r>
      <w:proofErr w:type="spellEnd"/>
      <w:r w:rsidRPr="003418AF">
        <w:rPr>
          <w:rFonts w:ascii="Verdana" w:hAnsi="Verdana"/>
          <w:bCs/>
          <w:iCs/>
          <w:sz w:val="20"/>
          <w:szCs w:val="20"/>
          <w:lang w:val="en-US"/>
        </w:rPr>
        <w:t>-Reach technology) and 1000BASE-T1 (1 Gbps). Limit values for the connectors and cables and the associated measurement methods were defined from the demands on the overall channel. The partner company Rosenberger played a leading role in the standardization in both standard committees in the fields of automotive connector design, signal integrity, and EMC.</w:t>
      </w:r>
    </w:p>
    <w:p w:rsidR="003418AF" w:rsidRPr="003418AF" w:rsidRDefault="003418AF" w:rsidP="003418AF">
      <w:pPr>
        <w:spacing w:line="360" w:lineRule="auto"/>
        <w:jc w:val="both"/>
        <w:rPr>
          <w:rFonts w:ascii="Verdana" w:hAnsi="Verdana"/>
          <w:b/>
          <w:bCs/>
          <w:iCs/>
          <w:sz w:val="20"/>
          <w:szCs w:val="20"/>
          <w:lang w:val="en-US"/>
        </w:rPr>
      </w:pPr>
    </w:p>
    <w:p w:rsidR="003418AF" w:rsidRPr="003418AF" w:rsidRDefault="003418AF" w:rsidP="003418AF">
      <w:pPr>
        <w:spacing w:line="360" w:lineRule="auto"/>
        <w:jc w:val="both"/>
        <w:rPr>
          <w:rFonts w:ascii="Verdana" w:hAnsi="Verdana"/>
          <w:b/>
          <w:bCs/>
          <w:iCs/>
          <w:sz w:val="20"/>
          <w:szCs w:val="20"/>
          <w:lang w:val="en-US"/>
        </w:rPr>
      </w:pPr>
      <w:r w:rsidRPr="003418AF">
        <w:rPr>
          <w:rFonts w:ascii="Verdana" w:hAnsi="Verdana"/>
          <w:b/>
          <w:bCs/>
          <w:iCs/>
          <w:sz w:val="20"/>
          <w:szCs w:val="20"/>
          <w:lang w:val="en-US"/>
        </w:rPr>
        <w:t>SPE for building automation</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The Internet of Things (IoT) allows smart buildings and factories to become a reality more easily and cost-effectively. With this IP protocol, LED lamps, switches, sensors, thermostats, machine control systems, and motors for window blinds are connected via the local data network and the cloud to the building management system. Application-specific fieldbus systems are no longer needed, meaning that gateways, complex interfaces, and different protocols are not necessary either. With the structured ceiling cabling (the Digital Ceiling), intelligent building automation can be combined via IP seamlessly. This simplifies installation, maintenance, and network management. In most cases, high data rates are not needed, but a high connection density is. SPE is considered an ideal addition for the Digital Ceiling. The existing cabling infrastructure can easily be expanded with SPE for higher port density. Both, R&amp;M and </w:t>
      </w:r>
      <w:proofErr w:type="spellStart"/>
      <w:r w:rsidRPr="003418AF">
        <w:rPr>
          <w:rFonts w:ascii="Verdana" w:hAnsi="Verdana"/>
          <w:bCs/>
          <w:iCs/>
          <w:sz w:val="20"/>
          <w:szCs w:val="20"/>
          <w:lang w:val="en-US"/>
        </w:rPr>
        <w:t>Telegärtner</w:t>
      </w:r>
      <w:proofErr w:type="spellEnd"/>
      <w:r w:rsidRPr="003418AF">
        <w:rPr>
          <w:rFonts w:ascii="Verdana" w:hAnsi="Verdana"/>
          <w:bCs/>
          <w:iCs/>
          <w:sz w:val="20"/>
          <w:szCs w:val="20"/>
          <w:lang w:val="en-US"/>
        </w:rPr>
        <w:t xml:space="preserve"> provide Digital Ceiling solutions and can show the implementation of SPE into such a system.</w:t>
      </w:r>
    </w:p>
    <w:p w:rsidR="003418AF" w:rsidRPr="003418AF" w:rsidRDefault="003418AF" w:rsidP="003418AF">
      <w:pPr>
        <w:spacing w:line="360" w:lineRule="auto"/>
        <w:jc w:val="both"/>
        <w:rPr>
          <w:rFonts w:ascii="Verdana" w:hAnsi="Verdana"/>
          <w:bCs/>
          <w:iCs/>
          <w:sz w:val="20"/>
          <w:szCs w:val="20"/>
          <w:lang w:val="en-US"/>
        </w:rPr>
      </w:pP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
          <w:bCs/>
          <w:iCs/>
          <w:sz w:val="20"/>
          <w:szCs w:val="20"/>
          <w:lang w:val="en-US"/>
        </w:rPr>
        <w:t>SPE in the passive industrial cabling field of connectivity</w:t>
      </w:r>
      <w:r w:rsidRPr="003418AF">
        <w:rPr>
          <w:rFonts w:ascii="Verdana" w:hAnsi="Verdana"/>
          <w:bCs/>
          <w:iCs/>
          <w:sz w:val="20"/>
          <w:szCs w:val="20"/>
          <w:lang w:val="en-US"/>
        </w:rPr>
        <w:t xml:space="preserve"> </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SPE provides consistent IP communication from the field level right through to the corporate level, and therefore from the sensor through to the cloud. As an alternative to today’s fieldbus systems, this technology will revolutionize industrial data transmission. Standardized pin connector patterns </w:t>
      </w:r>
      <w:r w:rsidRPr="003418AF">
        <w:rPr>
          <w:rFonts w:ascii="Verdana" w:hAnsi="Verdana"/>
          <w:bCs/>
          <w:iCs/>
          <w:sz w:val="20"/>
          <w:szCs w:val="20"/>
          <w:lang w:val="en-US"/>
        </w:rPr>
        <w:lastRenderedPageBreak/>
        <w:t xml:space="preserve">form the basis for the barrier-free networking of a wide range of components and devices. Phoenix Contact, </w:t>
      </w:r>
      <w:proofErr w:type="spellStart"/>
      <w:r w:rsidRPr="003418AF">
        <w:rPr>
          <w:rFonts w:ascii="Verdana" w:hAnsi="Verdana"/>
          <w:bCs/>
          <w:iCs/>
          <w:sz w:val="20"/>
          <w:szCs w:val="20"/>
          <w:lang w:val="en-US"/>
        </w:rPr>
        <w:t>Weidmüller</w:t>
      </w:r>
      <w:proofErr w:type="spellEnd"/>
      <w:r w:rsidRPr="003418AF">
        <w:rPr>
          <w:rFonts w:ascii="Verdana" w:hAnsi="Verdana"/>
          <w:bCs/>
          <w:iCs/>
          <w:sz w:val="20"/>
          <w:szCs w:val="20"/>
          <w:lang w:val="en-US"/>
        </w:rPr>
        <w:t xml:space="preserve">, R&amp;M, Rosenberger, and </w:t>
      </w:r>
      <w:proofErr w:type="spellStart"/>
      <w:r w:rsidRPr="003418AF">
        <w:rPr>
          <w:rFonts w:ascii="Verdana" w:hAnsi="Verdana"/>
          <w:bCs/>
          <w:iCs/>
          <w:sz w:val="20"/>
          <w:szCs w:val="20"/>
          <w:lang w:val="en-US"/>
        </w:rPr>
        <w:t>Telegärtner</w:t>
      </w:r>
      <w:proofErr w:type="spellEnd"/>
      <w:r w:rsidRPr="003418AF">
        <w:rPr>
          <w:rFonts w:ascii="Verdana" w:hAnsi="Verdana"/>
          <w:bCs/>
          <w:iCs/>
          <w:sz w:val="20"/>
          <w:szCs w:val="20"/>
          <w:lang w:val="en-US"/>
        </w:rPr>
        <w:t xml:space="preserve"> develop compact device and cable connectors in accordance with the standardized and fully compatible interfaces in accordance with IEC 63171-2 (IP20) and 63171-5 (IP67). The pin connector pattern can be integrated into all conventional and standardized connector versions (M8/M12) and enables efficient and future-proof cabling thanks to the high packing density and low space requirements.</w:t>
      </w:r>
    </w:p>
    <w:p w:rsidR="003418AF" w:rsidRPr="003418AF" w:rsidRDefault="003418AF" w:rsidP="003418AF">
      <w:pPr>
        <w:spacing w:line="360" w:lineRule="auto"/>
        <w:jc w:val="both"/>
        <w:rPr>
          <w:rFonts w:ascii="Verdana" w:hAnsi="Verdana"/>
          <w:bCs/>
          <w:iCs/>
          <w:sz w:val="20"/>
          <w:szCs w:val="20"/>
          <w:lang w:val="en-US"/>
        </w:rPr>
      </w:pP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
          <w:bCs/>
          <w:iCs/>
          <w:sz w:val="20"/>
          <w:szCs w:val="20"/>
          <w:lang w:val="en-US"/>
        </w:rPr>
        <w:t>SPE in sensor technology</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Now, in addition to their use in classic automation technology, sensors are increasingly being integrated as intelligent data suppliers into </w:t>
      </w:r>
      <w:proofErr w:type="spellStart"/>
      <w:r w:rsidRPr="003418AF">
        <w:rPr>
          <w:rFonts w:ascii="Verdana" w:hAnsi="Verdana"/>
          <w:bCs/>
          <w:iCs/>
          <w:sz w:val="20"/>
          <w:szCs w:val="20"/>
          <w:lang w:val="en-US"/>
        </w:rPr>
        <w:t>IIoT</w:t>
      </w:r>
      <w:proofErr w:type="spellEnd"/>
      <w:r w:rsidRPr="003418AF">
        <w:rPr>
          <w:rFonts w:ascii="Verdana" w:hAnsi="Verdana"/>
          <w:bCs/>
          <w:iCs/>
          <w:sz w:val="20"/>
          <w:szCs w:val="20"/>
          <w:lang w:val="en-US"/>
        </w:rPr>
        <w:t xml:space="preserve"> applications via Ethernet networks. Due to the miniaturization of the connection technology that has become possible with SPE, smaller and spatially limited sensors can also be connected to Ethernet networks.</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An additional advantage is yielded by combining SPE with the power supply over the data line. This means that additional plug connections to the voltage supply are no longer needed. Moreover, the use of SPE as the standard interface allows device manufacturers to provide an optimized range of devices with fewer versions. Sensors in a machine or system can be cabled more easily and reduce the installation work for the user.</w:t>
      </w:r>
    </w:p>
    <w:p w:rsidR="003418AF" w:rsidRPr="003418AF" w:rsidRDefault="003418AF" w:rsidP="003418AF">
      <w:pPr>
        <w:spacing w:line="360" w:lineRule="auto"/>
        <w:jc w:val="both"/>
        <w:rPr>
          <w:rFonts w:ascii="Verdana" w:hAnsi="Verdana"/>
          <w:b/>
          <w:bCs/>
          <w:iCs/>
          <w:sz w:val="20"/>
          <w:szCs w:val="20"/>
          <w:lang w:val="en-US"/>
        </w:rPr>
      </w:pP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
          <w:bCs/>
          <w:iCs/>
          <w:sz w:val="20"/>
          <w:szCs w:val="20"/>
          <w:lang w:val="en-US"/>
        </w:rPr>
        <w:t>SPE cables and lines</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In SPE fields of application, the transmission channels are created from various cables and a varying number of plug connections. While the transmission channels are specified through transmission parameters such as bandwidth, attenuation, return loss, and shielding dimensions in the system standards (e.g., the ISO/IEC 11801 series of standards), the connectors and cables must then be tailored to the respective channel. </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The work being performed in the IEC46C committee is taking the lead here. Cables with a 20 MHz bandwidth for fixed routing, connecting cables suitable for the 10BaseT1 channels, and cables with a bandwidth of 600 MHz for 100BaseT1 and 1000BaseT1 are available (IEC 61156-11 series of standards and those following). </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Along with the transmission of signals, the advantage lies in the simultaneous transmission of power along the single-pair cable, for example from the switch to the sensor. Known as PoE in the field of building cabling, the single-pair cable is called </w:t>
      </w:r>
      <w:proofErr w:type="spellStart"/>
      <w:r w:rsidRPr="003418AF">
        <w:rPr>
          <w:rFonts w:ascii="Verdana" w:hAnsi="Verdana"/>
          <w:bCs/>
          <w:iCs/>
          <w:sz w:val="20"/>
          <w:szCs w:val="20"/>
          <w:lang w:val="en-US"/>
        </w:rPr>
        <w:t>PoDL</w:t>
      </w:r>
      <w:proofErr w:type="spellEnd"/>
      <w:r w:rsidRPr="003418AF">
        <w:rPr>
          <w:rFonts w:ascii="Verdana" w:hAnsi="Verdana"/>
          <w:bCs/>
          <w:iCs/>
          <w:sz w:val="20"/>
          <w:szCs w:val="20"/>
          <w:lang w:val="en-US"/>
        </w:rPr>
        <w:t xml:space="preserve"> (Power over Data Line) here. Coordinated with the cross-sections and channel length, powers of up to approx. 15 W can then be transmitted. </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The different ambient conditions in industry and in building technology result in requirements on the mechanical, chemical, thermal, fire-related, and even electromagnetic resistance aspects. The system partners contributing their experience in this field are </w:t>
      </w:r>
      <w:proofErr w:type="spellStart"/>
      <w:r w:rsidRPr="003418AF">
        <w:rPr>
          <w:rFonts w:ascii="Verdana" w:hAnsi="Verdana"/>
          <w:bCs/>
          <w:iCs/>
          <w:sz w:val="20"/>
          <w:szCs w:val="20"/>
          <w:lang w:val="en-US"/>
        </w:rPr>
        <w:t>Datwyler</w:t>
      </w:r>
      <w:proofErr w:type="spellEnd"/>
      <w:r w:rsidRPr="003418AF">
        <w:rPr>
          <w:rFonts w:ascii="Verdana" w:hAnsi="Verdana"/>
          <w:bCs/>
          <w:iCs/>
          <w:sz w:val="20"/>
          <w:szCs w:val="20"/>
          <w:lang w:val="en-US"/>
        </w:rPr>
        <w:t xml:space="preserve"> and the </w:t>
      </w:r>
      <w:proofErr w:type="spellStart"/>
      <w:r w:rsidRPr="003418AF">
        <w:rPr>
          <w:rFonts w:ascii="Verdana" w:hAnsi="Verdana"/>
          <w:bCs/>
          <w:iCs/>
          <w:sz w:val="20"/>
          <w:szCs w:val="20"/>
          <w:lang w:val="en-US"/>
        </w:rPr>
        <w:t>Draka</w:t>
      </w:r>
      <w:proofErr w:type="spellEnd"/>
      <w:r w:rsidRPr="003418AF">
        <w:rPr>
          <w:rFonts w:ascii="Verdana" w:hAnsi="Verdana"/>
          <w:bCs/>
          <w:iCs/>
          <w:sz w:val="20"/>
          <w:szCs w:val="20"/>
          <w:lang w:val="en-US"/>
        </w:rPr>
        <w:t xml:space="preserve"> Prysmian Group. </w:t>
      </w:r>
    </w:p>
    <w:p w:rsidR="003418AF" w:rsidRPr="003418AF" w:rsidRDefault="003418AF" w:rsidP="003418AF">
      <w:pPr>
        <w:spacing w:line="360" w:lineRule="auto"/>
        <w:jc w:val="both"/>
        <w:rPr>
          <w:rFonts w:ascii="Verdana" w:hAnsi="Verdana"/>
          <w:bCs/>
          <w:iCs/>
          <w:sz w:val="20"/>
          <w:szCs w:val="20"/>
          <w:lang w:val="en-US"/>
        </w:rPr>
      </w:pPr>
    </w:p>
    <w:p w:rsidR="003418AF" w:rsidRPr="003418AF" w:rsidRDefault="003418AF" w:rsidP="003418AF">
      <w:pPr>
        <w:spacing w:line="360" w:lineRule="auto"/>
        <w:jc w:val="both"/>
        <w:rPr>
          <w:rFonts w:ascii="Verdana" w:hAnsi="Verdana"/>
          <w:b/>
          <w:bCs/>
          <w:iCs/>
          <w:sz w:val="20"/>
          <w:szCs w:val="20"/>
          <w:lang w:val="en-US"/>
        </w:rPr>
      </w:pPr>
      <w:r w:rsidRPr="003418AF">
        <w:rPr>
          <w:rFonts w:ascii="Verdana" w:hAnsi="Verdana"/>
          <w:b/>
          <w:bCs/>
          <w:iCs/>
          <w:sz w:val="20"/>
          <w:szCs w:val="20"/>
          <w:lang w:val="en-US"/>
        </w:rPr>
        <w:t>Online education for SPE</w:t>
      </w:r>
    </w:p>
    <w:p w:rsidR="003418AF" w:rsidRPr="003418AF" w:rsidRDefault="003418AF" w:rsidP="003418AF">
      <w:pPr>
        <w:spacing w:line="360" w:lineRule="auto"/>
        <w:jc w:val="both"/>
        <w:rPr>
          <w:rFonts w:ascii="Verdana" w:hAnsi="Verdana"/>
          <w:bCs/>
          <w:iCs/>
          <w:sz w:val="20"/>
          <w:szCs w:val="20"/>
          <w:lang w:val="en-US"/>
        </w:rPr>
      </w:pPr>
      <w:r w:rsidRPr="003418AF">
        <w:rPr>
          <w:rFonts w:ascii="Verdana" w:hAnsi="Verdana"/>
          <w:bCs/>
          <w:iCs/>
          <w:sz w:val="20"/>
          <w:szCs w:val="20"/>
          <w:lang w:val="en-US"/>
        </w:rPr>
        <w:t xml:space="preserve">Ethernet in general and SPE in particular play a central role in the establishment of the Industrial Internet of Things. Often, however, the need for further training of employees is not considered when introducing such technologies. This is where University4Industry helps with online learning content from various areas of </w:t>
      </w:r>
      <w:proofErr w:type="spellStart"/>
      <w:r w:rsidRPr="003418AF">
        <w:rPr>
          <w:rFonts w:ascii="Verdana" w:hAnsi="Verdana"/>
          <w:bCs/>
          <w:iCs/>
          <w:sz w:val="20"/>
          <w:szCs w:val="20"/>
          <w:lang w:val="en-US"/>
        </w:rPr>
        <w:t>IIoT</w:t>
      </w:r>
      <w:proofErr w:type="spellEnd"/>
      <w:r w:rsidRPr="003418AF">
        <w:rPr>
          <w:rFonts w:ascii="Verdana" w:hAnsi="Verdana"/>
          <w:bCs/>
          <w:iCs/>
          <w:sz w:val="20"/>
          <w:szCs w:val="20"/>
          <w:lang w:val="en-US"/>
        </w:rPr>
        <w:t>, e.g. on the topic of Ethernet APL.</w:t>
      </w:r>
    </w:p>
    <w:p w:rsidR="0004528F" w:rsidRPr="0004528F" w:rsidRDefault="0004528F" w:rsidP="00F00CC9">
      <w:pPr>
        <w:spacing w:line="360" w:lineRule="auto"/>
        <w:jc w:val="both"/>
        <w:rPr>
          <w:rFonts w:ascii="Verdana" w:hAnsi="Verdana"/>
          <w:bCs/>
          <w:iCs/>
          <w:sz w:val="20"/>
          <w:szCs w:val="20"/>
        </w:rPr>
      </w:pPr>
    </w:p>
    <w:p w:rsidR="003418AF" w:rsidRPr="003418AF" w:rsidRDefault="003418AF" w:rsidP="003418AF">
      <w:pPr>
        <w:ind w:right="395"/>
        <w:rPr>
          <w:rFonts w:ascii="Verdana" w:hAnsi="Verdana"/>
          <w:b/>
          <w:bCs/>
          <w:sz w:val="16"/>
          <w:szCs w:val="16"/>
          <w:lang w:val="en-US"/>
        </w:rPr>
      </w:pPr>
      <w:r w:rsidRPr="003418AF">
        <w:rPr>
          <w:rFonts w:ascii="Verdana" w:hAnsi="Verdana"/>
          <w:b/>
          <w:bCs/>
          <w:sz w:val="16"/>
          <w:szCs w:val="16"/>
          <w:lang w:val="en-US"/>
        </w:rPr>
        <w:t>Prysmian Group</w:t>
      </w:r>
    </w:p>
    <w:p w:rsidR="003418AF" w:rsidRPr="003418AF" w:rsidRDefault="003418AF" w:rsidP="003418AF">
      <w:pPr>
        <w:ind w:right="395"/>
        <w:rPr>
          <w:rFonts w:ascii="Verdana" w:hAnsi="Verdana"/>
          <w:sz w:val="16"/>
          <w:szCs w:val="16"/>
          <w:lang w:val="en-GB"/>
        </w:rPr>
      </w:pPr>
      <w:r w:rsidRPr="003418AF">
        <w:rPr>
          <w:rFonts w:ascii="Verdana" w:hAnsi="Verdana"/>
          <w:sz w:val="16"/>
          <w:szCs w:val="16"/>
          <w:lang w:val="en-GB"/>
        </w:rPr>
        <w:t>Prysmian Group is world leader in the energy and telecom cable systems industry. With almost 140 years of experience, sales of over €11 billion, about 29,000 employees in over 50 countries and 112 plants, the Group is strongly positioned in high-tech markets and offers the widest possible range of products, services, technologies and know-how. It operates in the businesses of underground and submarine cables and systems for power transmission and distribution, of special cables for applications in many different industries and of medium and low voltage cables for the construction and infrastructure sectors. For the telecommunications industry, the Group manufactures cables and accessories for voice, video and data transmission, offering a comprehensive range of optical fibres, optical and copper cables and connectivity systems. Prysmian is a public company, listed on the Italian Stock Exchange in the FTSE MIB index.</w:t>
      </w:r>
    </w:p>
    <w:p w:rsidR="003418AF" w:rsidRPr="003418AF" w:rsidRDefault="00E930C7" w:rsidP="003418AF">
      <w:pPr>
        <w:ind w:right="395"/>
        <w:rPr>
          <w:rFonts w:ascii="Verdana" w:hAnsi="Verdana"/>
          <w:sz w:val="16"/>
          <w:szCs w:val="16"/>
          <w:u w:val="single"/>
          <w:lang w:val="en-US"/>
        </w:rPr>
      </w:pPr>
      <w:hyperlink r:id="rId9" w:history="1">
        <w:r w:rsidR="003418AF" w:rsidRPr="003418AF">
          <w:rPr>
            <w:rStyle w:val="Hyperlink"/>
            <w:rFonts w:ascii="Verdana" w:hAnsi="Verdana" w:cs="Courier"/>
            <w:sz w:val="16"/>
            <w:szCs w:val="16"/>
            <w:lang w:val="en-US"/>
          </w:rPr>
          <w:t>http://www.prysmiangroup.com</w:t>
        </w:r>
      </w:hyperlink>
    </w:p>
    <w:p w:rsidR="003418AF" w:rsidRPr="003418AF" w:rsidRDefault="003418AF" w:rsidP="003418AF">
      <w:pPr>
        <w:ind w:right="395"/>
        <w:rPr>
          <w:rFonts w:ascii="Verdana" w:hAnsi="Verdana"/>
          <w:b/>
          <w:bCs/>
          <w:sz w:val="16"/>
          <w:szCs w:val="16"/>
          <w:lang w:val="en-US"/>
        </w:rPr>
      </w:pPr>
    </w:p>
    <w:p w:rsidR="003418AF" w:rsidRPr="003418AF" w:rsidRDefault="003418AF" w:rsidP="003418AF">
      <w:pPr>
        <w:ind w:right="395"/>
        <w:rPr>
          <w:rFonts w:ascii="Verdana" w:hAnsi="Verdana"/>
          <w:b/>
          <w:bCs/>
          <w:sz w:val="16"/>
          <w:szCs w:val="16"/>
          <w:lang w:val="en-US"/>
        </w:rPr>
      </w:pPr>
      <w:r w:rsidRPr="003418AF">
        <w:rPr>
          <w:rFonts w:ascii="Verdana" w:hAnsi="Verdana"/>
          <w:b/>
          <w:bCs/>
          <w:sz w:val="16"/>
          <w:szCs w:val="16"/>
          <w:lang w:val="en-US"/>
        </w:rPr>
        <w:t>Company Contact</w:t>
      </w:r>
      <w:r w:rsidRPr="003418AF">
        <w:rPr>
          <w:rFonts w:ascii="Verdana" w:hAnsi="Verdana"/>
          <w:b/>
          <w:bCs/>
          <w:sz w:val="16"/>
          <w:szCs w:val="16"/>
          <w:lang w:val="en-US"/>
        </w:rPr>
        <w:br/>
      </w:r>
      <w:proofErr w:type="spellStart"/>
      <w:r w:rsidRPr="003418AF">
        <w:rPr>
          <w:rFonts w:ascii="Verdana" w:hAnsi="Verdana"/>
          <w:sz w:val="16"/>
          <w:szCs w:val="16"/>
          <w:lang w:val="en-US"/>
        </w:rPr>
        <w:t>Draka</w:t>
      </w:r>
      <w:proofErr w:type="spellEnd"/>
      <w:r w:rsidRPr="003418AF">
        <w:rPr>
          <w:rFonts w:ascii="Verdana" w:hAnsi="Verdana"/>
          <w:sz w:val="16"/>
          <w:szCs w:val="16"/>
          <w:lang w:val="en-US"/>
        </w:rPr>
        <w:t xml:space="preserve"> </w:t>
      </w:r>
      <w:proofErr w:type="spellStart"/>
      <w:r w:rsidRPr="003418AF">
        <w:rPr>
          <w:rFonts w:ascii="Verdana" w:hAnsi="Verdana"/>
          <w:sz w:val="16"/>
          <w:szCs w:val="16"/>
          <w:lang w:val="en-US"/>
        </w:rPr>
        <w:t>Comteq</w:t>
      </w:r>
      <w:proofErr w:type="spellEnd"/>
      <w:r w:rsidRPr="003418AF">
        <w:rPr>
          <w:rFonts w:ascii="Verdana" w:hAnsi="Verdana"/>
          <w:sz w:val="16"/>
          <w:szCs w:val="16"/>
          <w:lang w:val="en-US"/>
        </w:rPr>
        <w:t xml:space="preserve"> Germany GmbH &amp; Co KG., Nicole Hentschel, </w:t>
      </w:r>
      <w:proofErr w:type="spellStart"/>
      <w:r w:rsidRPr="003418AF">
        <w:rPr>
          <w:rFonts w:ascii="Verdana" w:hAnsi="Verdana"/>
          <w:sz w:val="16"/>
          <w:szCs w:val="16"/>
          <w:lang w:val="en-US"/>
        </w:rPr>
        <w:t>Piccoloministraße</w:t>
      </w:r>
      <w:proofErr w:type="spellEnd"/>
      <w:r w:rsidRPr="003418AF">
        <w:rPr>
          <w:rFonts w:ascii="Verdana" w:hAnsi="Verdana"/>
          <w:sz w:val="16"/>
          <w:szCs w:val="16"/>
          <w:lang w:val="en-US"/>
        </w:rPr>
        <w:t xml:space="preserve"> 2, 51063 Köln, Tel. +49 (0)221 6770, </w:t>
      </w:r>
      <w:hyperlink r:id="rId10" w:history="1">
        <w:r w:rsidRPr="003418AF">
          <w:rPr>
            <w:rStyle w:val="Hyperlink"/>
            <w:rFonts w:ascii="Verdana" w:hAnsi="Verdana" w:cs="Courier"/>
            <w:sz w:val="16"/>
            <w:szCs w:val="16"/>
            <w:lang w:val="en-US"/>
          </w:rPr>
          <w:t>www.prysmiangroup.com</w:t>
        </w:r>
      </w:hyperlink>
      <w:r w:rsidRPr="003418AF">
        <w:rPr>
          <w:rFonts w:ascii="Verdana" w:hAnsi="Verdana"/>
          <w:b/>
          <w:bCs/>
          <w:sz w:val="16"/>
          <w:szCs w:val="16"/>
          <w:lang w:val="en-US"/>
        </w:rPr>
        <w:t xml:space="preserve"> </w:t>
      </w:r>
    </w:p>
    <w:p w:rsidR="003418AF" w:rsidRPr="003418AF" w:rsidRDefault="003418AF" w:rsidP="003418AF">
      <w:pPr>
        <w:ind w:right="395"/>
        <w:rPr>
          <w:rFonts w:ascii="Verdana" w:hAnsi="Verdana"/>
          <w:b/>
          <w:bCs/>
          <w:sz w:val="16"/>
          <w:szCs w:val="16"/>
          <w:lang w:val="en-US"/>
        </w:rPr>
      </w:pPr>
    </w:p>
    <w:p w:rsidR="003418AF" w:rsidRPr="003418AF" w:rsidRDefault="003418AF" w:rsidP="003418AF">
      <w:pPr>
        <w:ind w:right="395"/>
        <w:rPr>
          <w:rFonts w:ascii="Verdana" w:hAnsi="Verdana"/>
          <w:b/>
          <w:bCs/>
          <w:sz w:val="16"/>
          <w:szCs w:val="16"/>
          <w:lang w:val="en-US"/>
        </w:rPr>
      </w:pPr>
      <w:r w:rsidRPr="003418AF">
        <w:rPr>
          <w:rFonts w:ascii="Verdana" w:hAnsi="Verdana"/>
          <w:b/>
          <w:bCs/>
          <w:sz w:val="16"/>
          <w:szCs w:val="16"/>
          <w:lang w:val="en-US"/>
        </w:rPr>
        <w:t>Press Contact</w:t>
      </w:r>
    </w:p>
    <w:p w:rsidR="003418AF" w:rsidRPr="003418AF" w:rsidRDefault="003418AF" w:rsidP="003418AF">
      <w:pPr>
        <w:ind w:right="395"/>
        <w:rPr>
          <w:rFonts w:ascii="Verdana" w:hAnsi="Verdana"/>
          <w:sz w:val="16"/>
          <w:szCs w:val="16"/>
          <w:lang w:val="en-US"/>
        </w:rPr>
      </w:pPr>
      <w:r w:rsidRPr="003418AF">
        <w:rPr>
          <w:rFonts w:ascii="Verdana" w:hAnsi="Verdana"/>
          <w:sz w:val="16"/>
          <w:szCs w:val="16"/>
          <w:lang w:val="en-US"/>
        </w:rPr>
        <w:t xml:space="preserve">epr - elsaesser public relations, </w:t>
      </w:r>
      <w:proofErr w:type="spellStart"/>
      <w:r w:rsidRPr="003418AF">
        <w:rPr>
          <w:rFonts w:ascii="Verdana" w:hAnsi="Verdana"/>
          <w:sz w:val="16"/>
          <w:szCs w:val="16"/>
          <w:lang w:val="en-US"/>
        </w:rPr>
        <w:t>Maximilianstraße</w:t>
      </w:r>
      <w:proofErr w:type="spellEnd"/>
      <w:r w:rsidRPr="003418AF">
        <w:rPr>
          <w:rFonts w:ascii="Verdana" w:hAnsi="Verdana"/>
          <w:sz w:val="16"/>
          <w:szCs w:val="16"/>
          <w:lang w:val="en-US"/>
        </w:rPr>
        <w:t xml:space="preserve"> 50, 86150 Augsburg, Sabine Hensold, Tel: +49 821 4508 7917, </w:t>
      </w:r>
      <w:hyperlink r:id="rId11" w:history="1">
        <w:r w:rsidRPr="003418AF">
          <w:rPr>
            <w:rStyle w:val="Hyperlink"/>
            <w:rFonts w:ascii="Verdana" w:hAnsi="Verdana" w:cs="Courier"/>
            <w:sz w:val="16"/>
            <w:szCs w:val="16"/>
            <w:lang w:val="en-US"/>
          </w:rPr>
          <w:t>sh@epr-online.de</w:t>
        </w:r>
      </w:hyperlink>
      <w:r w:rsidRPr="003418AF">
        <w:rPr>
          <w:rFonts w:ascii="Verdana" w:hAnsi="Verdana"/>
          <w:sz w:val="16"/>
          <w:szCs w:val="16"/>
          <w:lang w:val="en-US"/>
        </w:rPr>
        <w:t xml:space="preserve">, Frauke Schütz, Tel: +49 821 4508 7916, </w:t>
      </w:r>
      <w:hyperlink r:id="rId12" w:history="1">
        <w:r w:rsidRPr="003418AF">
          <w:rPr>
            <w:rStyle w:val="Hyperlink"/>
            <w:rFonts w:ascii="Verdana" w:hAnsi="Verdana" w:cs="Courier"/>
            <w:sz w:val="16"/>
            <w:szCs w:val="16"/>
            <w:lang w:val="en-US"/>
          </w:rPr>
          <w:t>fs@epr-online.de</w:t>
        </w:r>
      </w:hyperlink>
      <w:r w:rsidRPr="003418AF">
        <w:rPr>
          <w:rFonts w:ascii="Verdana" w:hAnsi="Verdana"/>
          <w:sz w:val="16"/>
          <w:szCs w:val="16"/>
          <w:lang w:val="en-US"/>
        </w:rPr>
        <w:t xml:space="preserve">, </w:t>
      </w:r>
      <w:hyperlink r:id="rId13" w:history="1">
        <w:r w:rsidRPr="003418AF">
          <w:rPr>
            <w:rStyle w:val="Hyperlink"/>
            <w:rFonts w:ascii="Verdana" w:hAnsi="Verdana" w:cs="Courier"/>
            <w:sz w:val="16"/>
            <w:szCs w:val="16"/>
            <w:lang w:val="en-US"/>
          </w:rPr>
          <w:t>www.epr-online.de</w:t>
        </w:r>
      </w:hyperlink>
    </w:p>
    <w:p w:rsidR="007049C4" w:rsidRPr="0029455E" w:rsidRDefault="007049C4" w:rsidP="003418AF">
      <w:pPr>
        <w:ind w:right="395"/>
      </w:pPr>
    </w:p>
    <w:sectPr w:rsidR="007049C4" w:rsidRPr="0029455E" w:rsidSect="006675B8">
      <w:headerReference w:type="even" r:id="rId14"/>
      <w:headerReference w:type="default" r:id="rId15"/>
      <w:footerReference w:type="even" r:id="rId16"/>
      <w:footerReference w:type="default" r:id="rId17"/>
      <w:headerReference w:type="first" r:id="rId18"/>
      <w:footerReference w:type="first" r:id="rId19"/>
      <w:pgSz w:w="11900" w:h="16840"/>
      <w:pgMar w:top="2268" w:right="985" w:bottom="993"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15E" w:rsidRDefault="006E315E">
      <w:pPr>
        <w:rPr>
          <w:rFonts w:cs="Times New Roman"/>
        </w:rPr>
      </w:pPr>
      <w:r>
        <w:rPr>
          <w:rFonts w:cs="Times New Roman"/>
        </w:rPr>
        <w:separator/>
      </w:r>
    </w:p>
  </w:endnote>
  <w:endnote w:type="continuationSeparator" w:id="0">
    <w:p w:rsidR="006E315E" w:rsidRDefault="006E315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9AE" w:rsidRDefault="002219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9AE" w:rsidRDefault="002219A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15E" w:rsidRDefault="006E315E">
      <w:pPr>
        <w:rPr>
          <w:rFonts w:cs="Times New Roman"/>
        </w:rPr>
      </w:pPr>
      <w:bookmarkStart w:id="0" w:name="_Hlk38281194"/>
      <w:bookmarkEnd w:id="0"/>
      <w:r>
        <w:rPr>
          <w:rFonts w:cs="Times New Roman"/>
        </w:rPr>
        <w:separator/>
      </w:r>
    </w:p>
  </w:footnote>
  <w:footnote w:type="continuationSeparator" w:id="0">
    <w:p w:rsidR="006E315E" w:rsidRDefault="006E315E">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9AE" w:rsidRDefault="002219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9AE" w:rsidRDefault="002219A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925" w:rsidRDefault="00075925">
    <w:pPr>
      <w:pStyle w:val="Kopfzeile"/>
      <w:rPr>
        <w:rFonts w:ascii="Verdana" w:hAnsi="Verdana" w:cs="Times New Roman"/>
        <w:b/>
        <w:smallCaps/>
      </w:rPr>
    </w:pPr>
    <w:r>
      <w:rPr>
        <w:rFonts w:ascii="Verdana" w:hAnsi="Verdana" w:cs="Times New Roman"/>
        <w:b/>
        <w:smallCaps/>
        <w:noProof/>
        <w:lang w:val="it-IT" w:eastAsia="it-IT"/>
      </w:rPr>
      <w:drawing>
        <wp:inline distT="0" distB="0" distL="0" distR="0" wp14:anchorId="7C3659B3" wp14:editId="4C1C17E5">
          <wp:extent cx="6210935" cy="597811"/>
          <wp:effectExtent l="0" t="0" r="0" b="0"/>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597811"/>
                  </a:xfrm>
                  <a:prstGeom prst="rect">
                    <a:avLst/>
                  </a:prstGeom>
                  <a:noFill/>
                  <a:ln>
                    <a:noFill/>
                  </a:ln>
                </pic:spPr>
              </pic:pic>
            </a:graphicData>
          </a:graphic>
        </wp:inline>
      </w:drawing>
    </w:r>
  </w:p>
  <w:p w:rsidR="008D1E81" w:rsidRDefault="002219AE">
    <w:pPr>
      <w:pStyle w:val="Kopfzeile"/>
      <w:rPr>
        <w:rFonts w:ascii="Verdana" w:hAnsi="Verdana" w:cs="Times New Roman"/>
        <w:b/>
        <w:smallCaps/>
      </w:rPr>
    </w:pPr>
    <w:r>
      <w:rPr>
        <w:rFonts w:ascii="Verdana" w:hAnsi="Verdana" w:cs="Times New Roman"/>
        <w:b/>
        <w:smallCaps/>
        <w:noProof/>
      </w:rPr>
      <w:drawing>
        <wp:inline distT="0" distB="0" distL="0" distR="0">
          <wp:extent cx="1801374" cy="890019"/>
          <wp:effectExtent l="0" t="0" r="889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_Logo_FINAL_zweizeilig (002).tif"/>
                  <pic:cNvPicPr/>
                </pic:nvPicPr>
                <pic:blipFill>
                  <a:blip r:embed="rId2"/>
                  <a:stretch>
                    <a:fillRect/>
                  </a:stretch>
                </pic:blipFill>
                <pic:spPr>
                  <a:xfrm>
                    <a:off x="0" y="0"/>
                    <a:ext cx="1801374" cy="890019"/>
                  </a:xfrm>
                  <a:prstGeom prst="rect">
                    <a:avLst/>
                  </a:prstGeom>
                </pic:spPr>
              </pic:pic>
            </a:graphicData>
          </a:graphic>
        </wp:inline>
      </w:drawing>
    </w:r>
  </w:p>
  <w:p w:rsidR="008D1E81" w:rsidRDefault="000504F4">
    <w:pPr>
      <w:pStyle w:val="Kopfzeile"/>
      <w:tabs>
        <w:tab w:val="clear" w:pos="4819"/>
        <w:tab w:val="clear" w:pos="9638"/>
        <w:tab w:val="left" w:pos="5244"/>
        <w:tab w:val="left" w:pos="8565"/>
      </w:tabs>
      <w:rPr>
        <w:rFonts w:ascii="Verdana" w:hAnsi="Verdana" w:cs="Times New Roman"/>
        <w:b/>
        <w:smallCaps/>
        <w:color w:val="808080"/>
        <w:sz w:val="18"/>
      </w:rPr>
    </w:pPr>
    <w:r>
      <w:rPr>
        <w:rFonts w:ascii="Verdana" w:hAnsi="Verdana" w:cs="Times New Roman"/>
        <w:b/>
        <w:smallCaps/>
      </w:rPr>
      <w:tab/>
    </w:r>
  </w:p>
  <w:p w:rsidR="008D1E81" w:rsidRPr="001D252E" w:rsidRDefault="003418AF" w:rsidP="001D252E">
    <w:pPr>
      <w:tabs>
        <w:tab w:val="left" w:pos="3820"/>
        <w:tab w:val="center" w:pos="5099"/>
      </w:tabs>
      <w:rPr>
        <w:rFonts w:ascii="Verdana" w:hAnsi="Verdana" w:cs="Times New Roman"/>
        <w:b/>
        <w:smallCaps/>
        <w:color w:val="365F91" w:themeColor="accent1" w:themeShade="BF"/>
      </w:rPr>
    </w:pPr>
    <w:r>
      <w:rPr>
        <w:rFonts w:ascii="Verdana" w:hAnsi="Verdana" w:cs="Times New Roman"/>
        <w:b/>
        <w:smallCaps/>
        <w:noProof/>
        <w:color w:val="365F91" w:themeColor="accent1" w:themeShade="BF"/>
      </w:rPr>
      <w:t>PRESS RELEASE</w:t>
    </w:r>
  </w:p>
  <w:p w:rsidR="008D1E81" w:rsidRPr="003650C1" w:rsidRDefault="00907CAD" w:rsidP="00907CAD">
    <w:pPr>
      <w:tabs>
        <w:tab w:val="left" w:pos="3210"/>
      </w:tabs>
      <w:ind w:left="-284"/>
      <w:rPr>
        <w:rFonts w:ascii="Verdana" w:hAnsi="Verdana" w:cs="Times New Roman"/>
        <w:b/>
        <w:smallCaps/>
        <w:color w:val="808080" w:themeColor="background1" w:themeShade="80"/>
        <w:sz w:val="18"/>
      </w:rPr>
    </w:pPr>
    <w:r>
      <w:rPr>
        <w:rFonts w:ascii="Verdana" w:hAnsi="Verdana" w:cs="Times New Roman"/>
        <w:b/>
        <w:smallCaps/>
        <w:color w:val="808080" w:themeColor="background1" w:themeShade="80"/>
        <w:sz w:val="18"/>
      </w:rPr>
      <w:tab/>
    </w:r>
  </w:p>
  <w:p w:rsidR="008D1E81" w:rsidRDefault="008D1E81">
    <w:pPr>
      <w:ind w:left="-284"/>
      <w:rPr>
        <w:rFonts w:ascii="Verdana" w:hAnsi="Verdana" w:cs="Times New Roman"/>
        <w:b/>
        <w:smallCap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96ECF"/>
    <w:multiLevelType w:val="hybridMultilevel"/>
    <w:tmpl w:val="8312B5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C747631"/>
    <w:multiLevelType w:val="hybridMultilevel"/>
    <w:tmpl w:val="F8301316"/>
    <w:lvl w:ilvl="0" w:tplc="CA86EB06">
      <w:numFmt w:val="bullet"/>
      <w:lvlText w:val="-"/>
      <w:lvlJc w:val="left"/>
      <w:pPr>
        <w:ind w:left="720" w:hanging="360"/>
      </w:pPr>
      <w:rPr>
        <w:rFonts w:ascii="Verdana" w:eastAsia="Times New Roman" w:hAnsi="Verdana" w:cs="Courie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2D6"/>
    <w:rsid w:val="0000591A"/>
    <w:rsid w:val="00016DD6"/>
    <w:rsid w:val="000176F7"/>
    <w:rsid w:val="000248E1"/>
    <w:rsid w:val="00025B34"/>
    <w:rsid w:val="00043C59"/>
    <w:rsid w:val="000448C8"/>
    <w:rsid w:val="0004528F"/>
    <w:rsid w:val="000466CE"/>
    <w:rsid w:val="000504F4"/>
    <w:rsid w:val="00054B6C"/>
    <w:rsid w:val="00065B5E"/>
    <w:rsid w:val="00066B5C"/>
    <w:rsid w:val="00071626"/>
    <w:rsid w:val="00075925"/>
    <w:rsid w:val="0008275B"/>
    <w:rsid w:val="00090371"/>
    <w:rsid w:val="00090B62"/>
    <w:rsid w:val="00092F9E"/>
    <w:rsid w:val="000A47C0"/>
    <w:rsid w:val="000A5B3F"/>
    <w:rsid w:val="000B228E"/>
    <w:rsid w:val="000B6366"/>
    <w:rsid w:val="000C0AB2"/>
    <w:rsid w:val="000C0B4D"/>
    <w:rsid w:val="000C418F"/>
    <w:rsid w:val="000C5806"/>
    <w:rsid w:val="000D203E"/>
    <w:rsid w:val="000E037A"/>
    <w:rsid w:val="000E0A97"/>
    <w:rsid w:val="000E2852"/>
    <w:rsid w:val="000E28A0"/>
    <w:rsid w:val="000E43C5"/>
    <w:rsid w:val="000E52FF"/>
    <w:rsid w:val="000F03DB"/>
    <w:rsid w:val="000F0DEA"/>
    <w:rsid w:val="000F138B"/>
    <w:rsid w:val="000F23B1"/>
    <w:rsid w:val="000F32B6"/>
    <w:rsid w:val="00102009"/>
    <w:rsid w:val="00104AF9"/>
    <w:rsid w:val="00117770"/>
    <w:rsid w:val="00117EE8"/>
    <w:rsid w:val="00132CAF"/>
    <w:rsid w:val="0013505A"/>
    <w:rsid w:val="00135773"/>
    <w:rsid w:val="0013716C"/>
    <w:rsid w:val="00144B4A"/>
    <w:rsid w:val="00150046"/>
    <w:rsid w:val="00151E97"/>
    <w:rsid w:val="001547E1"/>
    <w:rsid w:val="00154B1D"/>
    <w:rsid w:val="001555B6"/>
    <w:rsid w:val="00156B3A"/>
    <w:rsid w:val="00161AE4"/>
    <w:rsid w:val="00163618"/>
    <w:rsid w:val="001704E6"/>
    <w:rsid w:val="00172866"/>
    <w:rsid w:val="001728D1"/>
    <w:rsid w:val="001748FD"/>
    <w:rsid w:val="00175E68"/>
    <w:rsid w:val="00180795"/>
    <w:rsid w:val="00183799"/>
    <w:rsid w:val="00185FCE"/>
    <w:rsid w:val="001908BC"/>
    <w:rsid w:val="001916EB"/>
    <w:rsid w:val="00195032"/>
    <w:rsid w:val="00196CA7"/>
    <w:rsid w:val="001A0DC1"/>
    <w:rsid w:val="001A6C5D"/>
    <w:rsid w:val="001B36D4"/>
    <w:rsid w:val="001C4160"/>
    <w:rsid w:val="001C53F0"/>
    <w:rsid w:val="001D14DA"/>
    <w:rsid w:val="001D1BBF"/>
    <w:rsid w:val="001D24B5"/>
    <w:rsid w:val="001D252E"/>
    <w:rsid w:val="001D2C15"/>
    <w:rsid w:val="001D4880"/>
    <w:rsid w:val="001D493E"/>
    <w:rsid w:val="001E22F0"/>
    <w:rsid w:val="001E603A"/>
    <w:rsid w:val="001E7A5B"/>
    <w:rsid w:val="001F2385"/>
    <w:rsid w:val="00202A32"/>
    <w:rsid w:val="00206AD9"/>
    <w:rsid w:val="00213509"/>
    <w:rsid w:val="002209E7"/>
    <w:rsid w:val="002215DF"/>
    <w:rsid w:val="002219AE"/>
    <w:rsid w:val="002230A4"/>
    <w:rsid w:val="002272C7"/>
    <w:rsid w:val="0023590A"/>
    <w:rsid w:val="002360BC"/>
    <w:rsid w:val="002406B1"/>
    <w:rsid w:val="002428C8"/>
    <w:rsid w:val="00245335"/>
    <w:rsid w:val="00250D08"/>
    <w:rsid w:val="00253F46"/>
    <w:rsid w:val="00256529"/>
    <w:rsid w:val="002643AF"/>
    <w:rsid w:val="00266076"/>
    <w:rsid w:val="00266717"/>
    <w:rsid w:val="002770E2"/>
    <w:rsid w:val="00280AF1"/>
    <w:rsid w:val="00281A1D"/>
    <w:rsid w:val="0028200F"/>
    <w:rsid w:val="00284C45"/>
    <w:rsid w:val="0029229C"/>
    <w:rsid w:val="00292BC8"/>
    <w:rsid w:val="00292D01"/>
    <w:rsid w:val="00294553"/>
    <w:rsid w:val="0029455E"/>
    <w:rsid w:val="002A0015"/>
    <w:rsid w:val="002A1A91"/>
    <w:rsid w:val="002A6636"/>
    <w:rsid w:val="002A76C9"/>
    <w:rsid w:val="002B22D1"/>
    <w:rsid w:val="002B4120"/>
    <w:rsid w:val="002B7535"/>
    <w:rsid w:val="002B7708"/>
    <w:rsid w:val="002C037F"/>
    <w:rsid w:val="002C7265"/>
    <w:rsid w:val="002D4434"/>
    <w:rsid w:val="002D6B99"/>
    <w:rsid w:val="002F047B"/>
    <w:rsid w:val="002F7279"/>
    <w:rsid w:val="00300F82"/>
    <w:rsid w:val="0030204E"/>
    <w:rsid w:val="00303945"/>
    <w:rsid w:val="0030602C"/>
    <w:rsid w:val="0030767D"/>
    <w:rsid w:val="00312F41"/>
    <w:rsid w:val="00325A22"/>
    <w:rsid w:val="00330B9D"/>
    <w:rsid w:val="00333051"/>
    <w:rsid w:val="003346D3"/>
    <w:rsid w:val="003418AF"/>
    <w:rsid w:val="003434AA"/>
    <w:rsid w:val="00361F97"/>
    <w:rsid w:val="003650C1"/>
    <w:rsid w:val="00365342"/>
    <w:rsid w:val="00372C65"/>
    <w:rsid w:val="00381DD2"/>
    <w:rsid w:val="003824E5"/>
    <w:rsid w:val="00392932"/>
    <w:rsid w:val="00393A3A"/>
    <w:rsid w:val="00394946"/>
    <w:rsid w:val="00394DD1"/>
    <w:rsid w:val="00394FAF"/>
    <w:rsid w:val="003A005B"/>
    <w:rsid w:val="003A6FA1"/>
    <w:rsid w:val="003A7E18"/>
    <w:rsid w:val="003B08A6"/>
    <w:rsid w:val="003B1C2A"/>
    <w:rsid w:val="003B26AA"/>
    <w:rsid w:val="003B289F"/>
    <w:rsid w:val="003B28A5"/>
    <w:rsid w:val="003B7EDF"/>
    <w:rsid w:val="003C190D"/>
    <w:rsid w:val="003D3382"/>
    <w:rsid w:val="003E256F"/>
    <w:rsid w:val="003E42AD"/>
    <w:rsid w:val="003E45A8"/>
    <w:rsid w:val="003E7816"/>
    <w:rsid w:val="003F0BA5"/>
    <w:rsid w:val="003F0D98"/>
    <w:rsid w:val="003F10F9"/>
    <w:rsid w:val="00401201"/>
    <w:rsid w:val="004067B0"/>
    <w:rsid w:val="00413B9A"/>
    <w:rsid w:val="00414C9E"/>
    <w:rsid w:val="0041789A"/>
    <w:rsid w:val="0042424A"/>
    <w:rsid w:val="00434AE4"/>
    <w:rsid w:val="0044007B"/>
    <w:rsid w:val="00442BD9"/>
    <w:rsid w:val="00443ED3"/>
    <w:rsid w:val="00444DD3"/>
    <w:rsid w:val="00453DF6"/>
    <w:rsid w:val="00460637"/>
    <w:rsid w:val="00460DA9"/>
    <w:rsid w:val="0046209C"/>
    <w:rsid w:val="00462FC9"/>
    <w:rsid w:val="004640CF"/>
    <w:rsid w:val="004714C6"/>
    <w:rsid w:val="00473F3B"/>
    <w:rsid w:val="00476C18"/>
    <w:rsid w:val="00483611"/>
    <w:rsid w:val="00484F1A"/>
    <w:rsid w:val="00486021"/>
    <w:rsid w:val="00490D0F"/>
    <w:rsid w:val="0049105B"/>
    <w:rsid w:val="00493982"/>
    <w:rsid w:val="004A1208"/>
    <w:rsid w:val="004A1A6F"/>
    <w:rsid w:val="004B02E5"/>
    <w:rsid w:val="004B08C1"/>
    <w:rsid w:val="004B17FB"/>
    <w:rsid w:val="004B418F"/>
    <w:rsid w:val="004B5598"/>
    <w:rsid w:val="004C29C9"/>
    <w:rsid w:val="004C31B3"/>
    <w:rsid w:val="004C3793"/>
    <w:rsid w:val="004C51A6"/>
    <w:rsid w:val="004C63D4"/>
    <w:rsid w:val="004E4ADB"/>
    <w:rsid w:val="004F6026"/>
    <w:rsid w:val="005029DD"/>
    <w:rsid w:val="00503C9E"/>
    <w:rsid w:val="005070D4"/>
    <w:rsid w:val="005101A5"/>
    <w:rsid w:val="00513F09"/>
    <w:rsid w:val="0052171D"/>
    <w:rsid w:val="00522A99"/>
    <w:rsid w:val="0052751A"/>
    <w:rsid w:val="0053410D"/>
    <w:rsid w:val="005411F7"/>
    <w:rsid w:val="00544EFF"/>
    <w:rsid w:val="00551C67"/>
    <w:rsid w:val="005532C7"/>
    <w:rsid w:val="00553879"/>
    <w:rsid w:val="00553AED"/>
    <w:rsid w:val="00570972"/>
    <w:rsid w:val="00571008"/>
    <w:rsid w:val="00571A31"/>
    <w:rsid w:val="00572A1A"/>
    <w:rsid w:val="0057675D"/>
    <w:rsid w:val="00580095"/>
    <w:rsid w:val="00581D95"/>
    <w:rsid w:val="005828DA"/>
    <w:rsid w:val="00586FC1"/>
    <w:rsid w:val="00591916"/>
    <w:rsid w:val="00593092"/>
    <w:rsid w:val="00597F1B"/>
    <w:rsid w:val="005A1E21"/>
    <w:rsid w:val="005A50E7"/>
    <w:rsid w:val="005A6D24"/>
    <w:rsid w:val="005B3018"/>
    <w:rsid w:val="005B5DF3"/>
    <w:rsid w:val="005B663D"/>
    <w:rsid w:val="005D3404"/>
    <w:rsid w:val="005D376E"/>
    <w:rsid w:val="005D64E5"/>
    <w:rsid w:val="005E233E"/>
    <w:rsid w:val="005F14DC"/>
    <w:rsid w:val="005F2ACC"/>
    <w:rsid w:val="005F672F"/>
    <w:rsid w:val="00600D4F"/>
    <w:rsid w:val="00601481"/>
    <w:rsid w:val="006017E8"/>
    <w:rsid w:val="0060333C"/>
    <w:rsid w:val="00605AFD"/>
    <w:rsid w:val="00606ECB"/>
    <w:rsid w:val="0061747C"/>
    <w:rsid w:val="00617B08"/>
    <w:rsid w:val="00626504"/>
    <w:rsid w:val="00626D8B"/>
    <w:rsid w:val="00630740"/>
    <w:rsid w:val="006323A7"/>
    <w:rsid w:val="0064145C"/>
    <w:rsid w:val="00642D80"/>
    <w:rsid w:val="006434A5"/>
    <w:rsid w:val="00646C9A"/>
    <w:rsid w:val="00647457"/>
    <w:rsid w:val="006506C4"/>
    <w:rsid w:val="006553E1"/>
    <w:rsid w:val="00663D07"/>
    <w:rsid w:val="006675B8"/>
    <w:rsid w:val="00667DD0"/>
    <w:rsid w:val="00675EDD"/>
    <w:rsid w:val="00677027"/>
    <w:rsid w:val="00677B25"/>
    <w:rsid w:val="0068559C"/>
    <w:rsid w:val="00686381"/>
    <w:rsid w:val="006A15EC"/>
    <w:rsid w:val="006A2231"/>
    <w:rsid w:val="006A760E"/>
    <w:rsid w:val="006C1383"/>
    <w:rsid w:val="006C57FC"/>
    <w:rsid w:val="006C68B6"/>
    <w:rsid w:val="006D0747"/>
    <w:rsid w:val="006D17D2"/>
    <w:rsid w:val="006D3533"/>
    <w:rsid w:val="006D3733"/>
    <w:rsid w:val="006E315E"/>
    <w:rsid w:val="006E3EEA"/>
    <w:rsid w:val="006F1101"/>
    <w:rsid w:val="007049C4"/>
    <w:rsid w:val="0071218F"/>
    <w:rsid w:val="00714BDD"/>
    <w:rsid w:val="00722D6E"/>
    <w:rsid w:val="00731CE9"/>
    <w:rsid w:val="00734147"/>
    <w:rsid w:val="007357EF"/>
    <w:rsid w:val="007362B9"/>
    <w:rsid w:val="0073760B"/>
    <w:rsid w:val="00742B47"/>
    <w:rsid w:val="00751ECA"/>
    <w:rsid w:val="007521CE"/>
    <w:rsid w:val="00767E94"/>
    <w:rsid w:val="00770444"/>
    <w:rsid w:val="00774DBF"/>
    <w:rsid w:val="007759DF"/>
    <w:rsid w:val="007820AB"/>
    <w:rsid w:val="00790781"/>
    <w:rsid w:val="00791D5C"/>
    <w:rsid w:val="007921CC"/>
    <w:rsid w:val="00794E69"/>
    <w:rsid w:val="007A094D"/>
    <w:rsid w:val="007A47FF"/>
    <w:rsid w:val="007A6ADB"/>
    <w:rsid w:val="007B158E"/>
    <w:rsid w:val="007B2332"/>
    <w:rsid w:val="007B2A3E"/>
    <w:rsid w:val="007B4419"/>
    <w:rsid w:val="007C17AB"/>
    <w:rsid w:val="007C2232"/>
    <w:rsid w:val="007D2FAB"/>
    <w:rsid w:val="007D5027"/>
    <w:rsid w:val="007E009E"/>
    <w:rsid w:val="007E14B5"/>
    <w:rsid w:val="007E31C7"/>
    <w:rsid w:val="007E5A73"/>
    <w:rsid w:val="007E7589"/>
    <w:rsid w:val="007F3633"/>
    <w:rsid w:val="007F47A3"/>
    <w:rsid w:val="007F7F3F"/>
    <w:rsid w:val="0080179A"/>
    <w:rsid w:val="00802747"/>
    <w:rsid w:val="00811C14"/>
    <w:rsid w:val="008133BA"/>
    <w:rsid w:val="008240F1"/>
    <w:rsid w:val="0082589C"/>
    <w:rsid w:val="00826CE5"/>
    <w:rsid w:val="00830074"/>
    <w:rsid w:val="008300B6"/>
    <w:rsid w:val="008316D9"/>
    <w:rsid w:val="008370F3"/>
    <w:rsid w:val="00840289"/>
    <w:rsid w:val="008430B6"/>
    <w:rsid w:val="008450BA"/>
    <w:rsid w:val="00846687"/>
    <w:rsid w:val="00851BB2"/>
    <w:rsid w:val="0085316E"/>
    <w:rsid w:val="008532E5"/>
    <w:rsid w:val="008571CA"/>
    <w:rsid w:val="008575DF"/>
    <w:rsid w:val="00857EE1"/>
    <w:rsid w:val="008610D3"/>
    <w:rsid w:val="008739C1"/>
    <w:rsid w:val="00874C91"/>
    <w:rsid w:val="00876680"/>
    <w:rsid w:val="00880E01"/>
    <w:rsid w:val="00882F06"/>
    <w:rsid w:val="00884924"/>
    <w:rsid w:val="0088513C"/>
    <w:rsid w:val="00885726"/>
    <w:rsid w:val="00890890"/>
    <w:rsid w:val="00891533"/>
    <w:rsid w:val="0089384B"/>
    <w:rsid w:val="008B197E"/>
    <w:rsid w:val="008B2373"/>
    <w:rsid w:val="008B4AC5"/>
    <w:rsid w:val="008C35A2"/>
    <w:rsid w:val="008C6363"/>
    <w:rsid w:val="008D1E81"/>
    <w:rsid w:val="008D6731"/>
    <w:rsid w:val="008E5249"/>
    <w:rsid w:val="008E6105"/>
    <w:rsid w:val="008F3723"/>
    <w:rsid w:val="009064C6"/>
    <w:rsid w:val="00907CAD"/>
    <w:rsid w:val="00912CDD"/>
    <w:rsid w:val="009131D9"/>
    <w:rsid w:val="00920D5F"/>
    <w:rsid w:val="00926E70"/>
    <w:rsid w:val="0093104A"/>
    <w:rsid w:val="0093532A"/>
    <w:rsid w:val="00940C36"/>
    <w:rsid w:val="00945CA6"/>
    <w:rsid w:val="00956F50"/>
    <w:rsid w:val="009571AB"/>
    <w:rsid w:val="009604E4"/>
    <w:rsid w:val="00970331"/>
    <w:rsid w:val="009731C8"/>
    <w:rsid w:val="00981370"/>
    <w:rsid w:val="0098585A"/>
    <w:rsid w:val="00987948"/>
    <w:rsid w:val="00993811"/>
    <w:rsid w:val="00994250"/>
    <w:rsid w:val="009A4586"/>
    <w:rsid w:val="009B05AA"/>
    <w:rsid w:val="009B2EED"/>
    <w:rsid w:val="009B60CA"/>
    <w:rsid w:val="009B6236"/>
    <w:rsid w:val="009C46E4"/>
    <w:rsid w:val="009C72A3"/>
    <w:rsid w:val="009D73E4"/>
    <w:rsid w:val="009D7F9F"/>
    <w:rsid w:val="009E0384"/>
    <w:rsid w:val="009E5DD5"/>
    <w:rsid w:val="009E600F"/>
    <w:rsid w:val="009F37D9"/>
    <w:rsid w:val="009F49F9"/>
    <w:rsid w:val="00A00E2C"/>
    <w:rsid w:val="00A03BB5"/>
    <w:rsid w:val="00A04780"/>
    <w:rsid w:val="00A052F3"/>
    <w:rsid w:val="00A10B06"/>
    <w:rsid w:val="00A152AD"/>
    <w:rsid w:val="00A2040B"/>
    <w:rsid w:val="00A2158D"/>
    <w:rsid w:val="00A2210A"/>
    <w:rsid w:val="00A221B9"/>
    <w:rsid w:val="00A23C28"/>
    <w:rsid w:val="00A255FF"/>
    <w:rsid w:val="00A2755A"/>
    <w:rsid w:val="00A31854"/>
    <w:rsid w:val="00A326E6"/>
    <w:rsid w:val="00A40B02"/>
    <w:rsid w:val="00A47EC9"/>
    <w:rsid w:val="00A55F0A"/>
    <w:rsid w:val="00A6120B"/>
    <w:rsid w:val="00A61402"/>
    <w:rsid w:val="00A63F80"/>
    <w:rsid w:val="00A641DA"/>
    <w:rsid w:val="00A75425"/>
    <w:rsid w:val="00A821E6"/>
    <w:rsid w:val="00A869E5"/>
    <w:rsid w:val="00A90004"/>
    <w:rsid w:val="00A936B4"/>
    <w:rsid w:val="00A96567"/>
    <w:rsid w:val="00AA5CF8"/>
    <w:rsid w:val="00AA6835"/>
    <w:rsid w:val="00AA7CE0"/>
    <w:rsid w:val="00AB24E4"/>
    <w:rsid w:val="00AB291D"/>
    <w:rsid w:val="00AB4E0D"/>
    <w:rsid w:val="00AC1DE5"/>
    <w:rsid w:val="00AC72EA"/>
    <w:rsid w:val="00AD2F84"/>
    <w:rsid w:val="00AE099B"/>
    <w:rsid w:val="00AE397F"/>
    <w:rsid w:val="00AF40FB"/>
    <w:rsid w:val="00AF70B4"/>
    <w:rsid w:val="00B109FF"/>
    <w:rsid w:val="00B11F09"/>
    <w:rsid w:val="00B13629"/>
    <w:rsid w:val="00B138A6"/>
    <w:rsid w:val="00B1435B"/>
    <w:rsid w:val="00B226DC"/>
    <w:rsid w:val="00B22959"/>
    <w:rsid w:val="00B24166"/>
    <w:rsid w:val="00B310CC"/>
    <w:rsid w:val="00B3233C"/>
    <w:rsid w:val="00B35E14"/>
    <w:rsid w:val="00B3667C"/>
    <w:rsid w:val="00B42804"/>
    <w:rsid w:val="00B45319"/>
    <w:rsid w:val="00B47353"/>
    <w:rsid w:val="00B630FE"/>
    <w:rsid w:val="00B6412F"/>
    <w:rsid w:val="00B64F60"/>
    <w:rsid w:val="00B66149"/>
    <w:rsid w:val="00B70882"/>
    <w:rsid w:val="00B72C04"/>
    <w:rsid w:val="00B75168"/>
    <w:rsid w:val="00B76735"/>
    <w:rsid w:val="00B76859"/>
    <w:rsid w:val="00B822DA"/>
    <w:rsid w:val="00B82614"/>
    <w:rsid w:val="00B82B9F"/>
    <w:rsid w:val="00B835B0"/>
    <w:rsid w:val="00B871FA"/>
    <w:rsid w:val="00B879B3"/>
    <w:rsid w:val="00B924BF"/>
    <w:rsid w:val="00BA51AD"/>
    <w:rsid w:val="00BA567D"/>
    <w:rsid w:val="00BA5735"/>
    <w:rsid w:val="00BB0A71"/>
    <w:rsid w:val="00BB3272"/>
    <w:rsid w:val="00BC0430"/>
    <w:rsid w:val="00BC3203"/>
    <w:rsid w:val="00BC6C92"/>
    <w:rsid w:val="00BD190E"/>
    <w:rsid w:val="00BD3142"/>
    <w:rsid w:val="00BE14D1"/>
    <w:rsid w:val="00BE18A3"/>
    <w:rsid w:val="00BE1C7A"/>
    <w:rsid w:val="00BF30E1"/>
    <w:rsid w:val="00BF35E5"/>
    <w:rsid w:val="00BF52DB"/>
    <w:rsid w:val="00C10216"/>
    <w:rsid w:val="00C10391"/>
    <w:rsid w:val="00C10E70"/>
    <w:rsid w:val="00C13FA0"/>
    <w:rsid w:val="00C16481"/>
    <w:rsid w:val="00C20AC0"/>
    <w:rsid w:val="00C218E9"/>
    <w:rsid w:val="00C21E34"/>
    <w:rsid w:val="00C40AEB"/>
    <w:rsid w:val="00C42301"/>
    <w:rsid w:val="00C43D1A"/>
    <w:rsid w:val="00C4684B"/>
    <w:rsid w:val="00C47AD9"/>
    <w:rsid w:val="00C54C79"/>
    <w:rsid w:val="00C6046F"/>
    <w:rsid w:val="00C60F53"/>
    <w:rsid w:val="00C675B1"/>
    <w:rsid w:val="00C72AD8"/>
    <w:rsid w:val="00C74005"/>
    <w:rsid w:val="00C74BCE"/>
    <w:rsid w:val="00C829CA"/>
    <w:rsid w:val="00C82BC1"/>
    <w:rsid w:val="00C82C3D"/>
    <w:rsid w:val="00C83C67"/>
    <w:rsid w:val="00C84B3F"/>
    <w:rsid w:val="00C87E03"/>
    <w:rsid w:val="00C95363"/>
    <w:rsid w:val="00CA2907"/>
    <w:rsid w:val="00CA4AF9"/>
    <w:rsid w:val="00CB1AB5"/>
    <w:rsid w:val="00CB1F3F"/>
    <w:rsid w:val="00CB36CC"/>
    <w:rsid w:val="00CB74DB"/>
    <w:rsid w:val="00CC2A07"/>
    <w:rsid w:val="00CD56B3"/>
    <w:rsid w:val="00CE0A55"/>
    <w:rsid w:val="00CE3ED4"/>
    <w:rsid w:val="00CE6D64"/>
    <w:rsid w:val="00CF7DF1"/>
    <w:rsid w:val="00D02834"/>
    <w:rsid w:val="00D15560"/>
    <w:rsid w:val="00D23722"/>
    <w:rsid w:val="00D23723"/>
    <w:rsid w:val="00D24285"/>
    <w:rsid w:val="00D30F42"/>
    <w:rsid w:val="00D36EDC"/>
    <w:rsid w:val="00D3777B"/>
    <w:rsid w:val="00D4002E"/>
    <w:rsid w:val="00D411FC"/>
    <w:rsid w:val="00D42103"/>
    <w:rsid w:val="00D42784"/>
    <w:rsid w:val="00D466F4"/>
    <w:rsid w:val="00D4725A"/>
    <w:rsid w:val="00D472D6"/>
    <w:rsid w:val="00D56444"/>
    <w:rsid w:val="00D60A2D"/>
    <w:rsid w:val="00D658E9"/>
    <w:rsid w:val="00D66159"/>
    <w:rsid w:val="00D7088D"/>
    <w:rsid w:val="00D77605"/>
    <w:rsid w:val="00D82BDE"/>
    <w:rsid w:val="00D84EE8"/>
    <w:rsid w:val="00D860CE"/>
    <w:rsid w:val="00D9079B"/>
    <w:rsid w:val="00DA0BCD"/>
    <w:rsid w:val="00DA1B93"/>
    <w:rsid w:val="00DB5F5D"/>
    <w:rsid w:val="00DC0248"/>
    <w:rsid w:val="00DC366C"/>
    <w:rsid w:val="00DC6242"/>
    <w:rsid w:val="00DC67F0"/>
    <w:rsid w:val="00DD0426"/>
    <w:rsid w:val="00DD0EA1"/>
    <w:rsid w:val="00DD0FBA"/>
    <w:rsid w:val="00DD4686"/>
    <w:rsid w:val="00DD6350"/>
    <w:rsid w:val="00DD657D"/>
    <w:rsid w:val="00DE34B9"/>
    <w:rsid w:val="00DE3D78"/>
    <w:rsid w:val="00DF2F4C"/>
    <w:rsid w:val="00DF4EF7"/>
    <w:rsid w:val="00E10F7B"/>
    <w:rsid w:val="00E11C69"/>
    <w:rsid w:val="00E11F3F"/>
    <w:rsid w:val="00E16C0E"/>
    <w:rsid w:val="00E17D24"/>
    <w:rsid w:val="00E227BE"/>
    <w:rsid w:val="00E23F26"/>
    <w:rsid w:val="00E26ABB"/>
    <w:rsid w:val="00E27DBB"/>
    <w:rsid w:val="00E368C2"/>
    <w:rsid w:val="00E4077B"/>
    <w:rsid w:val="00E41363"/>
    <w:rsid w:val="00E435AC"/>
    <w:rsid w:val="00E46E79"/>
    <w:rsid w:val="00E52220"/>
    <w:rsid w:val="00E66629"/>
    <w:rsid w:val="00E67D4D"/>
    <w:rsid w:val="00E70E2D"/>
    <w:rsid w:val="00E713D6"/>
    <w:rsid w:val="00E7619D"/>
    <w:rsid w:val="00E77979"/>
    <w:rsid w:val="00E85CE5"/>
    <w:rsid w:val="00E86A1F"/>
    <w:rsid w:val="00E8756F"/>
    <w:rsid w:val="00E87B49"/>
    <w:rsid w:val="00E930C7"/>
    <w:rsid w:val="00EA5292"/>
    <w:rsid w:val="00EB1DF4"/>
    <w:rsid w:val="00EB2D8E"/>
    <w:rsid w:val="00EB33E1"/>
    <w:rsid w:val="00EC1FD5"/>
    <w:rsid w:val="00EC3FA4"/>
    <w:rsid w:val="00EC7C63"/>
    <w:rsid w:val="00ED0B6E"/>
    <w:rsid w:val="00ED3AF5"/>
    <w:rsid w:val="00EE08EE"/>
    <w:rsid w:val="00EE2F53"/>
    <w:rsid w:val="00EE45BD"/>
    <w:rsid w:val="00EE6739"/>
    <w:rsid w:val="00EE766E"/>
    <w:rsid w:val="00EF0CE5"/>
    <w:rsid w:val="00EF588C"/>
    <w:rsid w:val="00F00CC9"/>
    <w:rsid w:val="00F00D05"/>
    <w:rsid w:val="00F02687"/>
    <w:rsid w:val="00F0282B"/>
    <w:rsid w:val="00F03611"/>
    <w:rsid w:val="00F05C35"/>
    <w:rsid w:val="00F14DCA"/>
    <w:rsid w:val="00F1743D"/>
    <w:rsid w:val="00F278D3"/>
    <w:rsid w:val="00F327B7"/>
    <w:rsid w:val="00F33074"/>
    <w:rsid w:val="00F419C4"/>
    <w:rsid w:val="00F42BAD"/>
    <w:rsid w:val="00F448CE"/>
    <w:rsid w:val="00F50A90"/>
    <w:rsid w:val="00F543C5"/>
    <w:rsid w:val="00F55823"/>
    <w:rsid w:val="00F723C6"/>
    <w:rsid w:val="00F732DE"/>
    <w:rsid w:val="00F7437C"/>
    <w:rsid w:val="00F7611C"/>
    <w:rsid w:val="00F76FF4"/>
    <w:rsid w:val="00F80355"/>
    <w:rsid w:val="00F82122"/>
    <w:rsid w:val="00F8352F"/>
    <w:rsid w:val="00F94DA9"/>
    <w:rsid w:val="00F969B8"/>
    <w:rsid w:val="00FA01DA"/>
    <w:rsid w:val="00FB601D"/>
    <w:rsid w:val="00FC22DF"/>
    <w:rsid w:val="00FC67A7"/>
    <w:rsid w:val="00FE42E3"/>
    <w:rsid w:val="00FF3387"/>
    <w:rsid w:val="00FF3F66"/>
    <w:rsid w:val="00FF6703"/>
    <w:rsid w:val="00FF7596"/>
    <w:rsid w:val="00FF7C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semiHidden/>
    <w:unhideWhenUsed/>
    <w:locked/>
    <w:rsid w:val="0098585A"/>
    <w:rPr>
      <w:sz w:val="20"/>
      <w:szCs w:val="20"/>
    </w:rPr>
  </w:style>
  <w:style w:type="character" w:customStyle="1" w:styleId="KommentartextZchn">
    <w:name w:val="Kommentartext Zchn"/>
    <w:basedOn w:val="Absatz-Standardschriftart"/>
    <w:link w:val="Kommentartext"/>
    <w:uiPriority w:val="99"/>
    <w:semiHidden/>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semiHidden/>
    <w:unhideWhenUsed/>
    <w:locked/>
    <w:rsid w:val="00EF588C"/>
    <w:pPr>
      <w:spacing w:before="100" w:beforeAutospacing="1" w:after="100" w:afterAutospacing="1"/>
    </w:pPr>
    <w:rPr>
      <w:rFonts w:ascii="Times New Roman" w:hAnsi="Times New Roman" w:cs="Times New Roman"/>
      <w:lang w:eastAsia="de-DE"/>
    </w:rPr>
  </w:style>
  <w:style w:type="character" w:styleId="NichtaufgelsteErwhnung">
    <w:name w:val="Unresolved Mention"/>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styleId="Hervorhebung">
    <w:name w:val="Emphasis"/>
    <w:basedOn w:val="Absatz-Standardschriftart"/>
    <w:uiPriority w:val="20"/>
    <w:qFormat/>
    <w:locked/>
    <w:rsid w:val="00F732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62357564">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1243836">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nglepairethernet.com" TargetMode="External"/><Relationship Id="rId13" Type="http://schemas.openxmlformats.org/officeDocument/2006/relationships/hyperlink" Target="http://www.epr-online.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s@epr-online.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r-online.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rysmiangroup.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rysmiangroup.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C35A6-AF9D-46A1-98AA-7643A56DF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1409</Words>
  <Characters>8397</Characters>
  <Application>Microsoft Office Word</Application>
  <DocSecurity>4</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2020-04-20T13:00:00Z</dcterms:created>
  <dcterms:modified xsi:type="dcterms:W3CDTF">2020-04-20T13:00:00Z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