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2F56" w14:textId="77777777" w:rsidR="00D13A2E" w:rsidRDefault="00D13A2E">
      <w:pPr>
        <w:rPr>
          <w:b/>
          <w:bCs/>
          <w:u w:val="single"/>
        </w:rPr>
      </w:pPr>
    </w:p>
    <w:p w14:paraId="50D6CB1D" w14:textId="77777777" w:rsidR="006816DE" w:rsidRPr="006816DE" w:rsidRDefault="006816DE" w:rsidP="006816DE">
      <w:pPr>
        <w:spacing w:line="360" w:lineRule="auto"/>
        <w:rPr>
          <w:b/>
          <w:bCs/>
          <w:u w:val="single"/>
        </w:rPr>
      </w:pPr>
      <w:r w:rsidRPr="006816DE">
        <w:rPr>
          <w:b/>
          <w:bCs/>
          <w:u w:val="single"/>
        </w:rPr>
        <w:t>Werkzeuglose Befestigung der Kabelführung an der Gitterrinne in Neu- und Bestandsverkabelungen</w:t>
      </w:r>
    </w:p>
    <w:p w14:paraId="1A5DC653" w14:textId="77777777" w:rsidR="006816DE" w:rsidRPr="00E47D1C" w:rsidRDefault="006816DE" w:rsidP="006816DE">
      <w:pPr>
        <w:spacing w:line="360" w:lineRule="auto"/>
        <w:rPr>
          <w:b/>
          <w:bCs/>
          <w:sz w:val="28"/>
          <w:szCs w:val="28"/>
        </w:rPr>
      </w:pPr>
      <w:r>
        <w:rPr>
          <w:b/>
          <w:bCs/>
          <w:sz w:val="28"/>
          <w:szCs w:val="28"/>
        </w:rPr>
        <w:t xml:space="preserve">Für die professionelle Kabelführung: tde Kabelabgangsbleche garantieren Einhaltung der Biegeradien  </w:t>
      </w:r>
    </w:p>
    <w:p w14:paraId="3370A593" w14:textId="35B0DDA0" w:rsidR="006816DE" w:rsidRPr="00E47D1C" w:rsidRDefault="006816DE" w:rsidP="006816DE">
      <w:pPr>
        <w:spacing w:line="360" w:lineRule="auto"/>
        <w:rPr>
          <w:rFonts w:eastAsia="Times New Roman"/>
          <w:b/>
          <w:bCs/>
        </w:rPr>
      </w:pPr>
      <w:r w:rsidRPr="00E47D1C">
        <w:rPr>
          <w:rFonts w:eastAsia="Times New Roman"/>
          <w:b/>
          <w:bCs/>
        </w:rPr>
        <w:t xml:space="preserve">Dortmund, </w:t>
      </w:r>
      <w:r w:rsidR="00436F2F">
        <w:rPr>
          <w:rFonts w:eastAsia="Times New Roman"/>
          <w:b/>
          <w:bCs/>
        </w:rPr>
        <w:t>18.</w:t>
      </w:r>
      <w:r w:rsidRPr="00E47D1C">
        <w:rPr>
          <w:rFonts w:eastAsia="Times New Roman"/>
          <w:b/>
          <w:bCs/>
        </w:rPr>
        <w:t xml:space="preserve"> Mai 2022. </w:t>
      </w:r>
      <w:r>
        <w:rPr>
          <w:rFonts w:eastAsia="Times New Roman"/>
          <w:b/>
          <w:bCs/>
        </w:rPr>
        <w:t xml:space="preserve">Die tde – trans data elektronik GmbH erweitert ihr Patchkabel- Managementsystem tPM um Kabelabgangsbleche für Gitterrinnen. Dadurch können Netzwerktechniker vor allem in Verbindung mit LWL-Kabeln die Einhaltung der Biegeradien garantieren und das Micro- bzw. Macrobending der Glasfasern vermeiden. Die tde hat die Kabelabgangsbleche benutzerfreundlich und werkzeuglos designt und stellt kundenspezifische Ausführungen für eine breite Vielzahl an Gitterrinnen-Herstellern bereit.   </w:t>
      </w:r>
    </w:p>
    <w:p w14:paraId="44E0A35E" w14:textId="27BC9D90" w:rsidR="006816DE" w:rsidRDefault="006816DE" w:rsidP="006816DE">
      <w:pPr>
        <w:spacing w:line="360" w:lineRule="auto"/>
        <w:rPr>
          <w:rFonts w:eastAsia="Times New Roman"/>
        </w:rPr>
      </w:pPr>
      <w:r>
        <w:rPr>
          <w:rFonts w:eastAsia="Times New Roman"/>
        </w:rPr>
        <w:t xml:space="preserve">Gitterrinnen sind die erste Wahl in Rechenzentren: Sie dienen der Aufnahme von Kabeln für die Verbindung der Verteilerschränke untereinander. Im Gegensatz zu geschlossenen Kabelkanälen bieten Gitterrinnen zahlreiche Vorteile: Durch die Luftzufuhr vermeiden sie Wärmestau, zugleich lassen sich die Kabel durch die offene Konstruktion an jeder Stelle und in jede Richtung hinein- und herausführen. So erhalten Netzwerktechniker jederzeit Einblick, können Neu- und Umverkabelungen schneller durchführen und Fehler einfach beheben. Eine Kabelführung sichert bei Neu- und Bestandsverkabelungen die Einhaltung der Biegeradien: „Gerade in Verbindung mit LWL-Kabeln müssen Netzwerktechniker zwingend darauf achten, dass die Biegeradien der Glasfasern nicht unterschritten und damit nicht einem zu hohen Querdruck ausgesetzt werden. Die Folge kann ein Micro- und Macrobending der Fasern sein“, erläutert André Engel, Geschäftsführer der tde. Hierbei handelt sich um eine Stressung der Fasern durch Druck, die durch </w:t>
      </w:r>
      <w:r w:rsidR="00527339">
        <w:rPr>
          <w:rFonts w:eastAsia="Times New Roman"/>
        </w:rPr>
        <w:t>Querdruck oder Zug</w:t>
      </w:r>
      <w:r>
        <w:rPr>
          <w:rFonts w:eastAsia="Times New Roman"/>
        </w:rPr>
        <w:t xml:space="preserve"> entstehen kann. Engel fährt fort: „Das Ergebnis kann eine massive Erhöhung der Dämpfung sein. Betrifft dies Multimodefasern, so gehen höhere Übertragungsraten ab 10 Gbit mit sehr kleinen Dämpfungsbudgets einher, sodass unter Umständen eine Datenübertragung gar nicht mehr möglich ist. Mit unserem neuen Kabelabgangsblech für Gitterrinnen kann das nicht passieren.“</w:t>
      </w:r>
    </w:p>
    <w:p w14:paraId="56B24D7B" w14:textId="77777777" w:rsidR="006816DE" w:rsidRDefault="006816DE" w:rsidP="006816DE">
      <w:pPr>
        <w:spacing w:line="360" w:lineRule="auto"/>
        <w:rPr>
          <w:rFonts w:eastAsia="Times New Roman"/>
        </w:rPr>
      </w:pPr>
      <w:r w:rsidRPr="00EE20B5">
        <w:rPr>
          <w:rFonts w:eastAsia="Times New Roman"/>
          <w:i/>
          <w:iCs/>
        </w:rPr>
        <w:t>Einfaches Handling und kundenspezifische Ausführungen</w:t>
      </w:r>
      <w:r>
        <w:rPr>
          <w:rFonts w:eastAsia="Times New Roman"/>
          <w:i/>
          <w:iCs/>
        </w:rPr>
        <w:br/>
      </w:r>
      <w:r w:rsidRPr="00EE20B5">
        <w:rPr>
          <w:rFonts w:eastAsia="Times New Roman"/>
        </w:rPr>
        <w:t>Die tde hat die</w:t>
      </w:r>
      <w:r>
        <w:rPr>
          <w:rFonts w:eastAsia="Times New Roman"/>
        </w:rPr>
        <w:t xml:space="preserve"> Kabelabgangsbleche für die schnelle und benutzerfreundliche Montage konzipiert: Sie lassen sich werkzeuglos an der Gitterrinne befestigen. Netzwerktechniker können sie selbst bei bereits verlegten Kabeln mühelos anbringen: Nach dem Einhängen und anschließenden Einrasten </w:t>
      </w:r>
      <w:r>
        <w:rPr>
          <w:rFonts w:eastAsia="Times New Roman"/>
        </w:rPr>
        <w:lastRenderedPageBreak/>
        <w:t xml:space="preserve">sind sie sofort einsetzbar. Die über die Gitterrinnen geführten Kabel lassen sich mit Klettbändern an dem Kabelabgangsblech befestigen. </w:t>
      </w:r>
    </w:p>
    <w:p w14:paraId="115345A6" w14:textId="77777777" w:rsidR="006816DE" w:rsidRDefault="006816DE" w:rsidP="006816DE">
      <w:pPr>
        <w:spacing w:line="360" w:lineRule="auto"/>
        <w:rPr>
          <w:rFonts w:eastAsia="Times New Roman"/>
        </w:rPr>
      </w:pPr>
      <w:r>
        <w:rPr>
          <w:rFonts w:eastAsia="Times New Roman"/>
        </w:rPr>
        <w:t xml:space="preserve">Um den kundenspezifischen Anforderungen der zahlreichen Gitterrinnen-Hersteller begegnen zu können, stellt die tde Kabelführungsbleche in unterschiedlichen Ausführungen zur Verfügung. Dabei berücksichtigt der Netzwerkexperte die unterschiedlichen Materialstärken und Abstände der Streben ebenso wie die spezifischen Biegeradien und Außendurchmesser der Kabel. </w:t>
      </w:r>
    </w:p>
    <w:p w14:paraId="42A39C3D" w14:textId="066D49C8" w:rsidR="006816DE" w:rsidRDefault="006816DE" w:rsidP="006816DE">
      <w:pPr>
        <w:spacing w:line="360" w:lineRule="auto"/>
        <w:rPr>
          <w:rFonts w:eastAsia="Times New Roman"/>
        </w:rPr>
      </w:pPr>
      <w:r>
        <w:rPr>
          <w:rFonts w:eastAsia="Times New Roman"/>
        </w:rPr>
        <w:t xml:space="preserve">Die tde Kabelabgangsbleche ergänzen das tPM Patchkabel-Managementsystem der tde für die professionelle Kabelführung. </w:t>
      </w:r>
      <w:r>
        <w:rPr>
          <w:rFonts w:eastAsia="Times New Roman"/>
        </w:rPr>
        <w:br/>
        <w:t xml:space="preserve">Weitere Informationen unter: </w:t>
      </w:r>
      <w:hyperlink r:id="rId11" w:history="1">
        <w:r w:rsidRPr="00FE6CC4">
          <w:rPr>
            <w:rStyle w:val="Hyperlink"/>
            <w:rFonts w:eastAsia="Times New Roman"/>
          </w:rPr>
          <w:t>https://mdb.tde.de/download.php?datei_id=9527&amp;inline</w:t>
        </w:r>
      </w:hyperlink>
    </w:p>
    <w:p w14:paraId="706E1320" w14:textId="77777777" w:rsidR="00D13A2E" w:rsidRDefault="00D13A2E" w:rsidP="007E5C9B">
      <w:pPr>
        <w:spacing w:line="276" w:lineRule="auto"/>
        <w:rPr>
          <w:rStyle w:val="Hyperlink"/>
          <w:sz w:val="18"/>
        </w:rPr>
      </w:pPr>
      <w:r>
        <w:rPr>
          <w:rFonts w:cs="Verdana"/>
          <w:b/>
          <w:bCs/>
          <w:sz w:val="18"/>
          <w:szCs w:val="16"/>
        </w:rPr>
        <w:t>Über die tde – trans data elektronik GmbH</w:t>
      </w:r>
      <w:r>
        <w:rPr>
          <w:sz w:val="18"/>
          <w:szCs w:val="16"/>
        </w:rPr>
        <w:br/>
        <w:t xml:space="preserve">Als international erfolgreiches Unternehmen ist die tde – trans data elektronik GmbH seit mehr als 30 Jahren auf die Entwicklung und Herstellung skalierbarer Verkabelungssysteme für größte Packungsdichten spezialisiert. Auch das </w:t>
      </w:r>
      <w:r>
        <w:rPr>
          <w:rFonts w:cs="Cambria"/>
          <w:sz w:val="18"/>
          <w:szCs w:val="16"/>
        </w:rPr>
        <w:t xml:space="preserve">Kernforschungszentrum </w:t>
      </w:r>
      <w:r>
        <w:rPr>
          <w:bCs/>
          <w:color w:val="000000"/>
          <w:sz w:val="18"/>
          <w:szCs w:val="16"/>
          <w:shd w:val="clear" w:color="auto" w:fill="FFFFFF"/>
        </w:rPr>
        <w:t>CERN vertraut auf das Know-how des Technologieführers in der</w:t>
      </w:r>
      <w:r>
        <w:rPr>
          <w:sz w:val="18"/>
          <w:szCs w:val="16"/>
        </w:rPr>
        <w:t xml:space="preserve"> Mehrfasertechnik (MPO)</w:t>
      </w:r>
      <w:r>
        <w:rPr>
          <w:color w:val="000000"/>
          <w:sz w:val="18"/>
          <w:szCs w:val="16"/>
        </w:rPr>
        <w:t xml:space="preserve">. </w:t>
      </w:r>
      <w:r>
        <w:rPr>
          <w:color w:val="000000"/>
          <w:sz w:val="18"/>
          <w:szCs w:val="16"/>
        </w:rPr>
        <w:br/>
        <w:t xml:space="preserve">Das Portfolio </w:t>
      </w:r>
      <w:r>
        <w:rPr>
          <w:sz w:val="18"/>
          <w:szCs w:val="16"/>
        </w:rPr>
        <w:t xml:space="preserve">„Made in Germany“ </w:t>
      </w:r>
      <w:r>
        <w:rPr>
          <w:color w:val="000000"/>
          <w:sz w:val="18"/>
          <w:szCs w:val="16"/>
        </w:rPr>
        <w:t>umfasst komplette Systemlösungen mit Schwerpunkt Plug-and-play</w:t>
      </w:r>
      <w:r>
        <w:rPr>
          <w:sz w:val="18"/>
          <w:szCs w:val="16"/>
        </w:rPr>
        <w:t xml:space="preserve"> für High-Speed-Anwendungen im Bereich Datacom, Telecom, Industry, Medical und Defence. tde bietet mit einer eigenen Service-Abteilung Planungs- und Installationsleistungen aus einer Hand und unterstützt den „European Code of Conduct“ für Energieeffizienz in Rechenzentren. Mehr unter: </w:t>
      </w:r>
      <w:hyperlink r:id="rId12" w:history="1">
        <w:r>
          <w:rPr>
            <w:rStyle w:val="Hyperlink"/>
            <w:sz w:val="18"/>
          </w:rPr>
          <w:t>www.tde.de</w:t>
        </w:r>
      </w:hyperlink>
      <w:r>
        <w:rPr>
          <w:rStyle w:val="Hyperlink"/>
          <w:sz w:val="18"/>
        </w:rPr>
        <w:t xml:space="preserve"> </w:t>
      </w:r>
      <w:r w:rsidRPr="008379C6">
        <w:rPr>
          <w:sz w:val="18"/>
          <w:szCs w:val="16"/>
        </w:rPr>
        <w:t xml:space="preserve">sowie auf </w:t>
      </w:r>
      <w:hyperlink r:id="rId13" w:history="1">
        <w:r w:rsidRPr="008379C6">
          <w:rPr>
            <w:rStyle w:val="Hyperlink"/>
            <w:sz w:val="18"/>
            <w:szCs w:val="16"/>
          </w:rPr>
          <w:t>LinkedIn</w:t>
        </w:r>
      </w:hyperlink>
      <w:r w:rsidRPr="008379C6">
        <w:rPr>
          <w:sz w:val="18"/>
          <w:szCs w:val="16"/>
        </w:rPr>
        <w:t xml:space="preserve">, </w:t>
      </w:r>
      <w:hyperlink r:id="rId14" w:history="1">
        <w:r w:rsidRPr="008379C6">
          <w:rPr>
            <w:rStyle w:val="Hyperlink"/>
            <w:sz w:val="18"/>
            <w:szCs w:val="16"/>
          </w:rPr>
          <w:t>Twitter</w:t>
        </w:r>
      </w:hyperlink>
      <w:r w:rsidRPr="008379C6">
        <w:rPr>
          <w:sz w:val="18"/>
          <w:szCs w:val="16"/>
        </w:rPr>
        <w:t xml:space="preserve"> und </w:t>
      </w:r>
      <w:hyperlink r:id="rId15" w:history="1">
        <w:r w:rsidRPr="000C77E9">
          <w:rPr>
            <w:rStyle w:val="Hyperlink"/>
            <w:sz w:val="18"/>
            <w:szCs w:val="16"/>
          </w:rPr>
          <w:t>Xing</w:t>
        </w:r>
      </w:hyperlink>
      <w:r w:rsidRPr="008379C6">
        <w:rPr>
          <w:sz w:val="18"/>
          <w:szCs w:val="16"/>
        </w:rPr>
        <w:t xml:space="preserve">. </w:t>
      </w:r>
      <w:r>
        <w:rPr>
          <w:sz w:val="18"/>
          <w:szCs w:val="16"/>
        </w:rPr>
        <w:br/>
      </w:r>
      <w:r>
        <w:rPr>
          <w:sz w:val="18"/>
          <w:szCs w:val="16"/>
        </w:rPr>
        <w:br/>
      </w:r>
      <w:r>
        <w:rPr>
          <w:rFonts w:cs="Verdana"/>
          <w:b/>
          <w:bCs/>
          <w:sz w:val="18"/>
          <w:szCs w:val="16"/>
        </w:rPr>
        <w:t>Unternehmenskontakt</w:t>
      </w:r>
      <w:r>
        <w:rPr>
          <w:rFonts w:cs="Verdana"/>
          <w:b/>
          <w:bCs/>
          <w:sz w:val="18"/>
          <w:szCs w:val="16"/>
        </w:rPr>
        <w:br/>
      </w:r>
      <w:r>
        <w:rPr>
          <w:sz w:val="18"/>
          <w:szCs w:val="16"/>
        </w:rPr>
        <w:t>tde – trans data elektronik GmbH, Vertriebsbüro Dortmund</w:t>
      </w:r>
      <w:r>
        <w:rPr>
          <w:sz w:val="18"/>
          <w:szCs w:val="16"/>
        </w:rPr>
        <w:br/>
        <w:t>André Engel, Prinz-Friedrich-Karl-Str. 46, D - 44135 Dortmund</w:t>
      </w:r>
      <w:r>
        <w:rPr>
          <w:sz w:val="18"/>
          <w:szCs w:val="16"/>
        </w:rPr>
        <w:br/>
        <w:t xml:space="preserve">Tel. +49 231 160480, Fax +49 231 160933, </w:t>
      </w:r>
      <w:hyperlink r:id="rId16" w:history="1">
        <w:r>
          <w:rPr>
            <w:rStyle w:val="Hyperlink"/>
            <w:sz w:val="18"/>
          </w:rPr>
          <w:t>info@tde.de</w:t>
        </w:r>
      </w:hyperlink>
      <w:r>
        <w:rPr>
          <w:sz w:val="18"/>
          <w:szCs w:val="16"/>
        </w:rPr>
        <w:t xml:space="preserve">, </w:t>
      </w:r>
      <w:hyperlink r:id="rId17" w:history="1">
        <w:r>
          <w:rPr>
            <w:rStyle w:val="Hyperlink"/>
            <w:sz w:val="18"/>
          </w:rPr>
          <w:t>www.tde.de</w:t>
        </w:r>
      </w:hyperlink>
    </w:p>
    <w:p w14:paraId="49E0A0C5" w14:textId="6B9FE350" w:rsidR="00D13A2E" w:rsidRDefault="00D13A2E" w:rsidP="007E5C9B">
      <w:pPr>
        <w:spacing w:after="0" w:line="276" w:lineRule="auto"/>
        <w:jc w:val="both"/>
      </w:pPr>
      <w:r>
        <w:rPr>
          <w:rFonts w:cs="Verdana"/>
          <w:b/>
          <w:bCs/>
          <w:sz w:val="18"/>
          <w:szCs w:val="16"/>
        </w:rPr>
        <w:t>Pressekontakt</w:t>
      </w:r>
      <w:r>
        <w:rPr>
          <w:rFonts w:cs="Verdana"/>
          <w:b/>
          <w:bCs/>
          <w:sz w:val="18"/>
          <w:szCs w:val="16"/>
        </w:rPr>
        <w:br/>
      </w:r>
      <w:r w:rsidR="006816DE" w:rsidRPr="008E784D">
        <w:rPr>
          <w:sz w:val="18"/>
          <w:szCs w:val="16"/>
        </w:rPr>
        <w:t>EPR Advisors</w:t>
      </w:r>
      <w:r>
        <w:rPr>
          <w:sz w:val="18"/>
          <w:szCs w:val="16"/>
        </w:rPr>
        <w:t>, Maximilianstraße 50, D - 86150 Augsburg</w:t>
      </w:r>
    </w:p>
    <w:p w14:paraId="49848001" w14:textId="77777777" w:rsidR="00D13A2E" w:rsidRDefault="00D13A2E" w:rsidP="007E5C9B">
      <w:pPr>
        <w:spacing w:after="0" w:line="276" w:lineRule="auto"/>
        <w:jc w:val="both"/>
      </w:pPr>
      <w:r>
        <w:rPr>
          <w:sz w:val="18"/>
          <w:szCs w:val="16"/>
        </w:rPr>
        <w:t xml:space="preserve">Frauke Schütz, Tel: +49 821 4508 7916, </w:t>
      </w:r>
      <w:hyperlink r:id="rId18" w:history="1">
        <w:r>
          <w:rPr>
            <w:rStyle w:val="Hyperlink"/>
            <w:sz w:val="18"/>
          </w:rPr>
          <w:t>fs@epr-online.de</w:t>
        </w:r>
      </w:hyperlink>
    </w:p>
    <w:p w14:paraId="7B2F896A" w14:textId="69CA93EA" w:rsidR="00D13A2E" w:rsidRPr="00871CC6" w:rsidRDefault="00D13A2E" w:rsidP="007E5C9B">
      <w:pPr>
        <w:spacing w:line="276" w:lineRule="auto"/>
        <w:jc w:val="both"/>
        <w:rPr>
          <w:rStyle w:val="Hyperlink"/>
          <w:sz w:val="18"/>
          <w:lang w:val="nl-NL"/>
        </w:rPr>
      </w:pPr>
      <w:r w:rsidRPr="00B06243">
        <w:rPr>
          <w:sz w:val="18"/>
          <w:szCs w:val="16"/>
          <w:lang w:val="nl-NL"/>
        </w:rPr>
        <w:t>Elke Thiergärtner, Tel: +49 821 4508 7912,</w:t>
      </w:r>
      <w:r w:rsidRPr="00B06243">
        <w:rPr>
          <w:b/>
          <w:sz w:val="18"/>
          <w:szCs w:val="16"/>
          <w:lang w:val="nl-NL"/>
        </w:rPr>
        <w:t xml:space="preserve"> </w:t>
      </w:r>
      <w:r w:rsidR="004D6439" w:rsidRPr="00871CC6">
        <w:rPr>
          <w:rStyle w:val="Hyperlink"/>
          <w:sz w:val="18"/>
          <w:lang w:val="nl-NL"/>
        </w:rPr>
        <w:t>et@epr-online.de</w:t>
      </w:r>
    </w:p>
    <w:p w14:paraId="02E1C1BD" w14:textId="67E8B39D" w:rsidR="003F2BEA" w:rsidRPr="009E443A" w:rsidRDefault="00D13A2E" w:rsidP="007E5C9B">
      <w:pPr>
        <w:spacing w:line="276" w:lineRule="auto"/>
        <w:jc w:val="both"/>
        <w:rPr>
          <w:sz w:val="18"/>
          <w:lang w:val="nl-NL"/>
        </w:rPr>
      </w:pPr>
      <w:r>
        <w:rPr>
          <w:rStyle w:val="Hyperlink"/>
          <w:sz w:val="18"/>
          <w:lang w:val="nl-NL"/>
        </w:rPr>
        <w:t>www.epr-online.de</w:t>
      </w:r>
    </w:p>
    <w:p w14:paraId="7A9E29C9" w14:textId="59EFB041" w:rsidR="003F2BEA" w:rsidRPr="009D4180" w:rsidRDefault="003F2BEA">
      <w:pPr>
        <w:rPr>
          <w:b/>
          <w:bCs/>
          <w:sz w:val="24"/>
          <w:szCs w:val="24"/>
          <w:lang w:val="nl-NL"/>
        </w:rPr>
      </w:pPr>
    </w:p>
    <w:sectPr w:rsidR="003F2BEA" w:rsidRPr="009D4180">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4C4C" w14:textId="77777777" w:rsidR="00960931" w:rsidRDefault="00960931" w:rsidP="00D13A2E">
      <w:pPr>
        <w:spacing w:after="0" w:line="240" w:lineRule="auto"/>
      </w:pPr>
      <w:r>
        <w:separator/>
      </w:r>
    </w:p>
  </w:endnote>
  <w:endnote w:type="continuationSeparator" w:id="0">
    <w:p w14:paraId="72163969" w14:textId="77777777" w:rsidR="00960931" w:rsidRDefault="00960931" w:rsidP="00D13A2E">
      <w:pPr>
        <w:spacing w:after="0" w:line="240" w:lineRule="auto"/>
      </w:pPr>
      <w:r>
        <w:continuationSeparator/>
      </w:r>
    </w:p>
  </w:endnote>
  <w:endnote w:type="continuationNotice" w:id="1">
    <w:p w14:paraId="6E698C95" w14:textId="77777777" w:rsidR="00A438EB" w:rsidRDefault="00A438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653A" w14:textId="77777777" w:rsidR="00960931" w:rsidRDefault="00960931" w:rsidP="00D13A2E">
      <w:pPr>
        <w:spacing w:after="0" w:line="240" w:lineRule="auto"/>
      </w:pPr>
      <w:r>
        <w:separator/>
      </w:r>
    </w:p>
  </w:footnote>
  <w:footnote w:type="continuationSeparator" w:id="0">
    <w:p w14:paraId="5187D758" w14:textId="77777777" w:rsidR="00960931" w:rsidRDefault="00960931" w:rsidP="00D13A2E">
      <w:pPr>
        <w:spacing w:after="0" w:line="240" w:lineRule="auto"/>
      </w:pPr>
      <w:r>
        <w:continuationSeparator/>
      </w:r>
    </w:p>
  </w:footnote>
  <w:footnote w:type="continuationNotice" w:id="1">
    <w:p w14:paraId="2F16A5EC" w14:textId="77777777" w:rsidR="00A438EB" w:rsidRDefault="00A438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6666" w14:textId="73C93214" w:rsidR="00D13A2E" w:rsidRDefault="00D13A2E" w:rsidP="00D13A2E">
    <w:pPr>
      <w:pStyle w:val="Kopfzeile"/>
      <w:jc w:val="right"/>
      <w:rPr>
        <w:rFonts w:ascii="Verdana" w:hAnsi="Verdana" w:cs="Verdana"/>
        <w:color w:val="808080"/>
        <w:sz w:val="20"/>
        <w:szCs w:val="20"/>
      </w:rPr>
    </w:pPr>
    <w:r>
      <w:rPr>
        <w:noProof/>
      </w:rPr>
      <w:drawing>
        <wp:anchor distT="0" distB="0" distL="114300" distR="114300" simplePos="0" relativeHeight="251658240" behindDoc="1" locked="0" layoutInCell="1" allowOverlap="1" wp14:anchorId="11EF460C" wp14:editId="5660BB8D">
          <wp:simplePos x="0" y="0"/>
          <wp:positionH relativeFrom="column">
            <wp:posOffset>4610100</wp:posOffset>
          </wp:positionH>
          <wp:positionV relativeFrom="paragraph">
            <wp:posOffset>8890</wp:posOffset>
          </wp:positionV>
          <wp:extent cx="1416050" cy="659130"/>
          <wp:effectExtent l="0" t="0" r="0" b="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09E3E" w14:textId="1669CC24" w:rsidR="00D13A2E" w:rsidRDefault="00D13A2E" w:rsidP="00D13A2E">
    <w:pPr>
      <w:pStyle w:val="Kopfzeile"/>
      <w:jc w:val="right"/>
      <w:rPr>
        <w:rFonts w:ascii="Verdana" w:hAnsi="Verdana" w:cs="Verdana"/>
        <w:color w:val="808080"/>
        <w:sz w:val="20"/>
        <w:szCs w:val="20"/>
      </w:rPr>
    </w:pPr>
  </w:p>
  <w:p w14:paraId="4222E6CC" w14:textId="1CC95518" w:rsidR="00D13A2E" w:rsidRDefault="00D13A2E" w:rsidP="00D13A2E">
    <w:pPr>
      <w:pStyle w:val="Kopfzeile"/>
      <w:jc w:val="right"/>
      <w:rPr>
        <w:rFonts w:ascii="Verdana" w:hAnsi="Verdana" w:cs="Verdana"/>
        <w:color w:val="808080"/>
        <w:sz w:val="20"/>
        <w:szCs w:val="20"/>
      </w:rPr>
    </w:pPr>
  </w:p>
  <w:p w14:paraId="38AE7E33" w14:textId="1A79D2BB" w:rsidR="00D13A2E" w:rsidRDefault="00D13A2E" w:rsidP="00D13A2E">
    <w:pPr>
      <w:pStyle w:val="Kopfzeile"/>
      <w:jc w:val="right"/>
      <w:rPr>
        <w:rFonts w:ascii="Verdana" w:hAnsi="Verdana" w:cs="Verdana"/>
        <w:color w:val="808080"/>
        <w:sz w:val="20"/>
        <w:szCs w:val="20"/>
      </w:rPr>
    </w:pPr>
  </w:p>
  <w:p w14:paraId="4EE662BF" w14:textId="77777777" w:rsidR="00D13A2E" w:rsidRDefault="00D13A2E" w:rsidP="00D13A2E">
    <w:pPr>
      <w:pStyle w:val="Kopfzeile"/>
      <w:jc w:val="right"/>
      <w:rPr>
        <w:rFonts w:ascii="Verdana" w:hAnsi="Verdana" w:cs="Verdana"/>
        <w:color w:val="808080"/>
        <w:sz w:val="20"/>
        <w:szCs w:val="20"/>
      </w:rPr>
    </w:pPr>
  </w:p>
  <w:p w14:paraId="4A33B467" w14:textId="77777777" w:rsidR="00D13A2E" w:rsidRDefault="00D13A2E" w:rsidP="00D13A2E">
    <w:pPr>
      <w:pStyle w:val="Kopfzeile"/>
      <w:jc w:val="right"/>
      <w:rPr>
        <w:rFonts w:ascii="Verdana" w:hAnsi="Verdana" w:cs="Verdana"/>
        <w:color w:val="808080"/>
        <w:sz w:val="20"/>
        <w:szCs w:val="20"/>
      </w:rPr>
    </w:pPr>
  </w:p>
  <w:p w14:paraId="6662BCBC" w14:textId="01949031" w:rsidR="00D13A2E" w:rsidRDefault="00D13A2E" w:rsidP="00D13A2E">
    <w:pPr>
      <w:pStyle w:val="Kopfzeile"/>
      <w:jc w:val="right"/>
    </w:pPr>
    <w:r>
      <w:rPr>
        <w:rFonts w:ascii="Verdana" w:hAnsi="Verdana" w:cs="Verdana"/>
        <w:color w:val="808080"/>
        <w:sz w:val="20"/>
        <w:szCs w:val="20"/>
      </w:rPr>
      <w:tab/>
    </w:r>
    <w:r>
      <w:rPr>
        <w:rFonts w:ascii="Verdana" w:hAnsi="Verdana" w:cs="Verdana"/>
        <w:color w:val="808080"/>
        <w:sz w:val="20"/>
        <w:szCs w:val="20"/>
      </w:rPr>
      <w:tab/>
    </w:r>
    <w:r w:rsidRPr="00DE7D51">
      <w:rPr>
        <w:rFonts w:ascii="Verdana" w:hAnsi="Verdana" w:cs="Verdana"/>
        <w:color w:val="808080"/>
        <w:sz w:val="20"/>
        <w:szCs w:val="20"/>
      </w:rPr>
      <w:t>Pressemitteilung</w:t>
    </w:r>
    <w:r>
      <w:rPr>
        <w:noProof/>
        <w:lang w:eastAsia="de-DE"/>
      </w:rPr>
      <w:t xml:space="preserve"> </w:t>
    </w:r>
  </w:p>
  <w:p w14:paraId="0B30A466" w14:textId="77777777" w:rsidR="00D13A2E" w:rsidRDefault="00D13A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DC"/>
    <w:rsid w:val="000017EB"/>
    <w:rsid w:val="00001857"/>
    <w:rsid w:val="00014614"/>
    <w:rsid w:val="00020E7C"/>
    <w:rsid w:val="000237AB"/>
    <w:rsid w:val="00040EB5"/>
    <w:rsid w:val="00054689"/>
    <w:rsid w:val="00055DA3"/>
    <w:rsid w:val="00060E79"/>
    <w:rsid w:val="00067FBC"/>
    <w:rsid w:val="0009674E"/>
    <w:rsid w:val="000C100A"/>
    <w:rsid w:val="000D2F0E"/>
    <w:rsid w:val="000F190A"/>
    <w:rsid w:val="000F427D"/>
    <w:rsid w:val="00112538"/>
    <w:rsid w:val="0011350F"/>
    <w:rsid w:val="00145811"/>
    <w:rsid w:val="00150D4F"/>
    <w:rsid w:val="00152721"/>
    <w:rsid w:val="00171D75"/>
    <w:rsid w:val="0019485A"/>
    <w:rsid w:val="001C5119"/>
    <w:rsid w:val="00207386"/>
    <w:rsid w:val="0021522B"/>
    <w:rsid w:val="00236459"/>
    <w:rsid w:val="002421A4"/>
    <w:rsid w:val="002D1C4F"/>
    <w:rsid w:val="002F48FF"/>
    <w:rsid w:val="003006BF"/>
    <w:rsid w:val="003459D0"/>
    <w:rsid w:val="003469C5"/>
    <w:rsid w:val="00365459"/>
    <w:rsid w:val="0037740E"/>
    <w:rsid w:val="00394F17"/>
    <w:rsid w:val="003A0BCD"/>
    <w:rsid w:val="003C58B0"/>
    <w:rsid w:val="003E77BA"/>
    <w:rsid w:val="003F2BEA"/>
    <w:rsid w:val="00422467"/>
    <w:rsid w:val="00436F2F"/>
    <w:rsid w:val="004959CB"/>
    <w:rsid w:val="004B1F6B"/>
    <w:rsid w:val="004D6439"/>
    <w:rsid w:val="00502A2C"/>
    <w:rsid w:val="00527339"/>
    <w:rsid w:val="0053286B"/>
    <w:rsid w:val="00533958"/>
    <w:rsid w:val="005477C3"/>
    <w:rsid w:val="00600BAE"/>
    <w:rsid w:val="00615D7A"/>
    <w:rsid w:val="00671FAC"/>
    <w:rsid w:val="00677B24"/>
    <w:rsid w:val="006816DE"/>
    <w:rsid w:val="00697392"/>
    <w:rsid w:val="006A2ADE"/>
    <w:rsid w:val="006F7238"/>
    <w:rsid w:val="0070013D"/>
    <w:rsid w:val="00740230"/>
    <w:rsid w:val="00782D42"/>
    <w:rsid w:val="00784FBD"/>
    <w:rsid w:val="007A4BBC"/>
    <w:rsid w:val="007C37ED"/>
    <w:rsid w:val="007D3840"/>
    <w:rsid w:val="007E5C9B"/>
    <w:rsid w:val="00805C8F"/>
    <w:rsid w:val="00871CC6"/>
    <w:rsid w:val="00884FDC"/>
    <w:rsid w:val="00894FA9"/>
    <w:rsid w:val="008B0EAE"/>
    <w:rsid w:val="008C6BE8"/>
    <w:rsid w:val="008D038C"/>
    <w:rsid w:val="009019DF"/>
    <w:rsid w:val="009246C1"/>
    <w:rsid w:val="0095009E"/>
    <w:rsid w:val="00951736"/>
    <w:rsid w:val="009570D6"/>
    <w:rsid w:val="00960931"/>
    <w:rsid w:val="00977BC7"/>
    <w:rsid w:val="009A6F4A"/>
    <w:rsid w:val="009B7E6B"/>
    <w:rsid w:val="009C7E05"/>
    <w:rsid w:val="009D4180"/>
    <w:rsid w:val="009E443A"/>
    <w:rsid w:val="009E4A37"/>
    <w:rsid w:val="00A13E2F"/>
    <w:rsid w:val="00A17BC2"/>
    <w:rsid w:val="00A33717"/>
    <w:rsid w:val="00A438EB"/>
    <w:rsid w:val="00A4563B"/>
    <w:rsid w:val="00AC0213"/>
    <w:rsid w:val="00B31BF0"/>
    <w:rsid w:val="00B62829"/>
    <w:rsid w:val="00B8731B"/>
    <w:rsid w:val="00C156BB"/>
    <w:rsid w:val="00C240A5"/>
    <w:rsid w:val="00C86110"/>
    <w:rsid w:val="00CD7B68"/>
    <w:rsid w:val="00CE4AAD"/>
    <w:rsid w:val="00D13A2E"/>
    <w:rsid w:val="00D3659E"/>
    <w:rsid w:val="00D5106E"/>
    <w:rsid w:val="00D53480"/>
    <w:rsid w:val="00D77E6C"/>
    <w:rsid w:val="00DE375E"/>
    <w:rsid w:val="00DE4FAB"/>
    <w:rsid w:val="00DE7D93"/>
    <w:rsid w:val="00E01739"/>
    <w:rsid w:val="00E055E2"/>
    <w:rsid w:val="00E132C6"/>
    <w:rsid w:val="00E6023B"/>
    <w:rsid w:val="00E80A29"/>
    <w:rsid w:val="00E81285"/>
    <w:rsid w:val="00E91AC0"/>
    <w:rsid w:val="00ED6B98"/>
    <w:rsid w:val="00F00BF3"/>
    <w:rsid w:val="00F13A8F"/>
    <w:rsid w:val="00F742A3"/>
    <w:rsid w:val="00FD6F05"/>
    <w:rsid w:val="3B8AFB86"/>
    <w:rsid w:val="5E167EED"/>
    <w:rsid w:val="618AC56C"/>
    <w:rsid w:val="64B02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857E8"/>
  <w15:chartTrackingRefBased/>
  <w15:docId w15:val="{91F625A3-4998-4684-8482-343D6D9E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156BB"/>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84FDC"/>
    <w:rPr>
      <w:sz w:val="16"/>
      <w:szCs w:val="16"/>
    </w:rPr>
  </w:style>
  <w:style w:type="paragraph" w:styleId="Kommentartext">
    <w:name w:val="annotation text"/>
    <w:basedOn w:val="Standard"/>
    <w:link w:val="KommentartextZchn"/>
    <w:uiPriority w:val="99"/>
    <w:semiHidden/>
    <w:unhideWhenUsed/>
    <w:rsid w:val="00884F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4FDC"/>
    <w:rPr>
      <w:sz w:val="20"/>
      <w:szCs w:val="20"/>
    </w:rPr>
  </w:style>
  <w:style w:type="paragraph" w:styleId="Kommentarthema">
    <w:name w:val="annotation subject"/>
    <w:basedOn w:val="Kommentartext"/>
    <w:next w:val="Kommentartext"/>
    <w:link w:val="KommentarthemaZchn"/>
    <w:uiPriority w:val="99"/>
    <w:semiHidden/>
    <w:unhideWhenUsed/>
    <w:rsid w:val="00884FDC"/>
    <w:rPr>
      <w:b/>
      <w:bCs/>
    </w:rPr>
  </w:style>
  <w:style w:type="character" w:customStyle="1" w:styleId="KommentarthemaZchn">
    <w:name w:val="Kommentarthema Zchn"/>
    <w:basedOn w:val="KommentartextZchn"/>
    <w:link w:val="Kommentarthema"/>
    <w:uiPriority w:val="99"/>
    <w:semiHidden/>
    <w:rsid w:val="00884FDC"/>
    <w:rPr>
      <w:b/>
      <w:bCs/>
      <w:sz w:val="20"/>
      <w:szCs w:val="20"/>
    </w:rPr>
  </w:style>
  <w:style w:type="character" w:customStyle="1" w:styleId="berschrift6Zchn">
    <w:name w:val="Überschrift 6 Zchn"/>
    <w:basedOn w:val="Absatz-Standardschriftart"/>
    <w:link w:val="berschrift6"/>
    <w:uiPriority w:val="9"/>
    <w:rsid w:val="00C156BB"/>
    <w:rPr>
      <w:rFonts w:ascii="Times New Roman" w:eastAsia="Times New Roman" w:hAnsi="Times New Roman" w:cs="Times New Roman"/>
      <w:b/>
      <w:bCs/>
      <w:sz w:val="15"/>
      <w:szCs w:val="15"/>
      <w:lang w:eastAsia="de-DE"/>
    </w:rPr>
  </w:style>
  <w:style w:type="paragraph" w:styleId="StandardWeb">
    <w:name w:val="Normal (Web)"/>
    <w:basedOn w:val="Standard"/>
    <w:uiPriority w:val="99"/>
    <w:semiHidden/>
    <w:unhideWhenUsed/>
    <w:rsid w:val="0000185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D13A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A2E"/>
  </w:style>
  <w:style w:type="paragraph" w:styleId="Fuzeile">
    <w:name w:val="footer"/>
    <w:basedOn w:val="Standard"/>
    <w:link w:val="FuzeileZchn"/>
    <w:uiPriority w:val="99"/>
    <w:unhideWhenUsed/>
    <w:rsid w:val="00D13A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3A2E"/>
  </w:style>
  <w:style w:type="character" w:styleId="Hyperlink">
    <w:name w:val="Hyperlink"/>
    <w:basedOn w:val="Absatz-Standardschriftart"/>
    <w:uiPriority w:val="99"/>
    <w:unhideWhenUsed/>
    <w:rsid w:val="00D13A2E"/>
    <w:rPr>
      <w:rFonts w:cs="Times New Roman"/>
      <w:color w:val="0563C1" w:themeColor="hyperlink"/>
      <w:u w:val="single"/>
    </w:rPr>
  </w:style>
  <w:style w:type="paragraph" w:styleId="berarbeitung">
    <w:name w:val="Revision"/>
    <w:hidden/>
    <w:uiPriority w:val="99"/>
    <w:semiHidden/>
    <w:rsid w:val="00740230"/>
    <w:pPr>
      <w:spacing w:after="0" w:line="240" w:lineRule="auto"/>
    </w:pPr>
  </w:style>
  <w:style w:type="character" w:styleId="NichtaufgelsteErwhnung">
    <w:name w:val="Unresolved Mention"/>
    <w:basedOn w:val="Absatz-Standardschriftart"/>
    <w:uiPriority w:val="99"/>
    <w:semiHidden/>
    <w:unhideWhenUsed/>
    <w:rsid w:val="009D4180"/>
    <w:rPr>
      <w:color w:val="605E5C"/>
      <w:shd w:val="clear" w:color="auto" w:fill="E1DFDD"/>
    </w:rPr>
  </w:style>
  <w:style w:type="character" w:styleId="BesuchterLink">
    <w:name w:val="FollowedHyperlink"/>
    <w:basedOn w:val="Absatz-Standardschriftart"/>
    <w:uiPriority w:val="99"/>
    <w:semiHidden/>
    <w:unhideWhenUsed/>
    <w:rsid w:val="00A13E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34079">
      <w:bodyDiv w:val="1"/>
      <w:marLeft w:val="0"/>
      <w:marRight w:val="0"/>
      <w:marTop w:val="0"/>
      <w:marBottom w:val="0"/>
      <w:divBdr>
        <w:top w:val="none" w:sz="0" w:space="0" w:color="auto"/>
        <w:left w:val="none" w:sz="0" w:space="0" w:color="auto"/>
        <w:bottom w:val="none" w:sz="0" w:space="0" w:color="auto"/>
        <w:right w:val="none" w:sz="0" w:space="0" w:color="auto"/>
      </w:divBdr>
    </w:div>
    <w:div w:id="65321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tde-trans-data-elektronik-gmbh/" TargetMode="External"/><Relationship Id="rId18" Type="http://schemas.openxmlformats.org/officeDocument/2006/relationships/hyperlink" Target="mailto:fs@epr-online.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de.de/" TargetMode="External"/><Relationship Id="rId17" Type="http://schemas.openxmlformats.org/officeDocument/2006/relationships/hyperlink" Target="http://www.tde.de/" TargetMode="External"/><Relationship Id="rId2" Type="http://schemas.openxmlformats.org/officeDocument/2006/relationships/customXml" Target="../customXml/item2.xml"/><Relationship Id="rId16" Type="http://schemas.openxmlformats.org/officeDocument/2006/relationships/hyperlink" Target="mailto:info@tde.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db.tde.de/download.php?datei_id=9527&amp;inline" TargetMode="External"/><Relationship Id="rId5" Type="http://schemas.openxmlformats.org/officeDocument/2006/relationships/numbering" Target="numbering.xml"/><Relationship Id="rId15" Type="http://schemas.openxmlformats.org/officeDocument/2006/relationships/hyperlink" Target="https://www.xing.com/companies/tde-transdataelektronikgmbh/updat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tdeConn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3" ma:contentTypeDescription="Ein neues Dokument erstellen." ma:contentTypeScope="" ma:versionID="9d693c455342fc163b82dfe38cf97fb4">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9d01176c4e122244ee48243c71882030"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02496-75F2-4D1C-A33E-F1002AD64427}">
  <ds:schemaRefs>
    <ds:schemaRef ds:uri="http://schemas.openxmlformats.org/officeDocument/2006/bibliography"/>
  </ds:schemaRefs>
</ds:datastoreItem>
</file>

<file path=customXml/itemProps2.xml><?xml version="1.0" encoding="utf-8"?>
<ds:datastoreItem xmlns:ds="http://schemas.openxmlformats.org/officeDocument/2006/customXml" ds:itemID="{396C7671-456C-4204-BE25-3678FEC7FF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FE95F6-7792-4E9B-901F-EEF68E4D3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FF9E7-41AD-427F-A533-7C9963D47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 epr - elsaesser public relations</dc:creator>
  <cp:keywords/>
  <dc:description/>
  <cp:lastModifiedBy>Frauke Schütz | EPR Advisors</cp:lastModifiedBy>
  <cp:revision>3</cp:revision>
  <dcterms:created xsi:type="dcterms:W3CDTF">2022-05-12T09:42:00Z</dcterms:created>
  <dcterms:modified xsi:type="dcterms:W3CDTF">2022-05-17T13:42:00Z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ies>
</file>