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D80D" w14:textId="77777777" w:rsidR="00DE441A" w:rsidRDefault="00DE441A">
      <w:pPr>
        <w:rPr>
          <w:b/>
          <w:bCs/>
          <w:u w:val="single"/>
        </w:rPr>
      </w:pPr>
    </w:p>
    <w:p w14:paraId="4076205B" w14:textId="116AD9B3" w:rsidR="00F6193A" w:rsidRPr="00F6193A" w:rsidRDefault="00F6193A" w:rsidP="00F6193A">
      <w:pPr>
        <w:rPr>
          <w:b/>
          <w:bCs/>
          <w:u w:val="single"/>
          <w:lang w:val="en-US"/>
        </w:rPr>
      </w:pPr>
      <w:r w:rsidRPr="00F6193A">
        <w:rPr>
          <w:b/>
          <w:bCs/>
          <w:u w:val="single"/>
          <w:lang w:val="en-US"/>
        </w:rPr>
        <w:t>Sustainably manufactured in Europe and available for immediate delivery</w:t>
      </w:r>
    </w:p>
    <w:p w14:paraId="5E039F32" w14:textId="152FFF3B" w:rsidR="00F6193A" w:rsidRDefault="00F6193A" w:rsidP="00A46BFF">
      <w:pPr>
        <w:spacing w:line="360" w:lineRule="auto"/>
        <w:rPr>
          <w:b/>
          <w:bCs/>
          <w:sz w:val="28"/>
          <w:szCs w:val="28"/>
          <w:lang w:val="en-US"/>
        </w:rPr>
      </w:pPr>
      <w:r w:rsidRPr="00F6193A">
        <w:rPr>
          <w:b/>
          <w:bCs/>
          <w:sz w:val="28"/>
          <w:szCs w:val="28"/>
          <w:lang w:val="en-US"/>
        </w:rPr>
        <w:t xml:space="preserve">tBL RJ45 keystone module </w:t>
      </w:r>
      <w:r w:rsidR="00401124">
        <w:rPr>
          <w:b/>
          <w:bCs/>
          <w:sz w:val="28"/>
          <w:szCs w:val="28"/>
          <w:lang w:val="en-US"/>
        </w:rPr>
        <w:t xml:space="preserve">by </w:t>
      </w:r>
      <w:r w:rsidRPr="00F6193A">
        <w:rPr>
          <w:b/>
          <w:bCs/>
          <w:sz w:val="28"/>
          <w:szCs w:val="28"/>
          <w:lang w:val="en-US"/>
        </w:rPr>
        <w:t>tde: Even higher quality, more durable and with shutter as dust protection</w:t>
      </w:r>
    </w:p>
    <w:p w14:paraId="2D76ED37" w14:textId="4285A741" w:rsidR="004F1058" w:rsidRPr="002E53FC" w:rsidRDefault="0070652C" w:rsidP="00A46BFF">
      <w:pPr>
        <w:spacing w:line="360" w:lineRule="auto"/>
        <w:rPr>
          <w:lang w:val="en-US"/>
        </w:rPr>
      </w:pPr>
      <w:r w:rsidRPr="00155A7C">
        <w:rPr>
          <w:b/>
          <w:bCs/>
          <w:lang w:val="en-GB"/>
        </w:rPr>
        <w:t>Dortmund</w:t>
      </w:r>
      <w:r w:rsidR="00F6193A" w:rsidRPr="00155A7C">
        <w:rPr>
          <w:b/>
          <w:bCs/>
          <w:lang w:val="en-GB"/>
        </w:rPr>
        <w:t>/Germany</w:t>
      </w:r>
      <w:r w:rsidRPr="00155A7C">
        <w:rPr>
          <w:b/>
          <w:bCs/>
          <w:lang w:val="en-GB"/>
        </w:rPr>
        <w:t xml:space="preserve">, </w:t>
      </w:r>
      <w:r w:rsidR="00DA6440">
        <w:rPr>
          <w:b/>
          <w:bCs/>
          <w:lang w:val="en-GB"/>
        </w:rPr>
        <w:t xml:space="preserve">20 </w:t>
      </w:r>
      <w:r w:rsidRPr="00F6193A">
        <w:rPr>
          <w:b/>
          <w:bCs/>
          <w:lang w:val="en-US"/>
        </w:rPr>
        <w:t>September 2022.</w:t>
      </w:r>
      <w:r w:rsidR="00F6193A" w:rsidRPr="00F6193A">
        <w:rPr>
          <w:b/>
          <w:bCs/>
          <w:lang w:val="en-US"/>
        </w:rPr>
        <w:t xml:space="preserve"> tde </w:t>
      </w:r>
      <w:r w:rsidR="00266E45">
        <w:rPr>
          <w:b/>
          <w:bCs/>
          <w:lang w:val="en-US"/>
        </w:rPr>
        <w:t>–</w:t>
      </w:r>
      <w:r w:rsidR="00F6193A" w:rsidRPr="00F6193A">
        <w:rPr>
          <w:b/>
          <w:bCs/>
          <w:lang w:val="en-US"/>
        </w:rPr>
        <w:t xml:space="preserve"> trans data elektronik GmbH now offers customers a further developed and improved tBL RJ45 keystone module for the successful system solution tBL </w:t>
      </w:r>
      <w:r w:rsidR="00266E45">
        <w:rPr>
          <w:b/>
          <w:bCs/>
          <w:lang w:val="en-US"/>
        </w:rPr>
        <w:t>–</w:t>
      </w:r>
      <w:r w:rsidR="00F6193A" w:rsidRPr="00F6193A">
        <w:rPr>
          <w:b/>
          <w:bCs/>
          <w:lang w:val="en-US"/>
        </w:rPr>
        <w:t xml:space="preserve"> tde Basic Link (TP): The module housing is made of nickel-plated die-cast zinc, meets the highest requirements for environmental compatibility, has a durable design and is protected against mechanical influences. </w:t>
      </w:r>
      <w:r w:rsidR="00CF32B0">
        <w:rPr>
          <w:b/>
          <w:bCs/>
          <w:lang w:val="en-US"/>
        </w:rPr>
        <w:t xml:space="preserve">For protection against </w:t>
      </w:r>
      <w:r w:rsidR="00F6193A" w:rsidRPr="00CF32B0">
        <w:rPr>
          <w:b/>
          <w:bCs/>
          <w:lang w:val="en-US"/>
        </w:rPr>
        <w:t xml:space="preserve">dust, the module now also integrates a shutter made of transparent plastic. </w:t>
      </w:r>
      <w:r w:rsidR="00F6193A" w:rsidRPr="00307567">
        <w:rPr>
          <w:b/>
          <w:bCs/>
          <w:lang w:val="en-US"/>
        </w:rPr>
        <w:t xml:space="preserve">What remains unchanged </w:t>
      </w:r>
      <w:r w:rsidR="00266E45">
        <w:rPr>
          <w:b/>
          <w:bCs/>
          <w:lang w:val="en-US"/>
        </w:rPr>
        <w:t>–</w:t>
      </w:r>
      <w:r w:rsidR="00F6193A" w:rsidRPr="00307567">
        <w:rPr>
          <w:b/>
          <w:bCs/>
          <w:lang w:val="en-US"/>
        </w:rPr>
        <w:t xml:space="preserve"> depending on the quality of the </w:t>
      </w:r>
      <w:r w:rsidR="00CF32B0">
        <w:rPr>
          <w:b/>
          <w:bCs/>
          <w:lang w:val="en-US"/>
        </w:rPr>
        <w:t>mounting</w:t>
      </w:r>
      <w:r w:rsidR="00F6193A" w:rsidRPr="00307567">
        <w:rPr>
          <w:b/>
          <w:bCs/>
          <w:lang w:val="en-US"/>
        </w:rPr>
        <w:t xml:space="preserve"> and the cable </w:t>
      </w:r>
      <w:r w:rsidR="00266E45">
        <w:rPr>
          <w:b/>
          <w:bCs/>
          <w:lang w:val="en-US"/>
        </w:rPr>
        <w:t>–</w:t>
      </w:r>
      <w:r w:rsidR="00F6193A" w:rsidRPr="00307567">
        <w:rPr>
          <w:b/>
          <w:bCs/>
          <w:lang w:val="en-US"/>
        </w:rPr>
        <w:t xml:space="preserve"> is the excellent performance with additional reserves as well as the time-saving and tool-</w:t>
      </w:r>
      <w:r w:rsidR="00307567" w:rsidRPr="00307567">
        <w:rPr>
          <w:b/>
          <w:bCs/>
          <w:lang w:val="en-US"/>
        </w:rPr>
        <w:t>le</w:t>
      </w:r>
      <w:r w:rsidR="00307567">
        <w:rPr>
          <w:b/>
          <w:bCs/>
          <w:lang w:val="en-US"/>
        </w:rPr>
        <w:t>ss</w:t>
      </w:r>
      <w:r w:rsidR="00F6193A" w:rsidRPr="00307567">
        <w:rPr>
          <w:b/>
          <w:bCs/>
          <w:lang w:val="en-US"/>
        </w:rPr>
        <w:t xml:space="preserve"> handling during </w:t>
      </w:r>
      <w:r w:rsidR="005D54FA">
        <w:rPr>
          <w:b/>
          <w:bCs/>
          <w:lang w:val="en-US"/>
        </w:rPr>
        <w:t>mounting</w:t>
      </w:r>
      <w:r w:rsidR="00F6193A" w:rsidRPr="00307567">
        <w:rPr>
          <w:b/>
          <w:bCs/>
          <w:lang w:val="en-US"/>
        </w:rPr>
        <w:t xml:space="preserve"> and cabling. </w:t>
      </w:r>
      <w:r w:rsidR="00F6193A" w:rsidRPr="00155A7C">
        <w:rPr>
          <w:b/>
          <w:bCs/>
          <w:lang w:val="en-GB"/>
        </w:rPr>
        <w:t xml:space="preserve">The tBL RJ45 keystone module is manufactured in Europe, available from stock and can be delivered at any time. </w:t>
      </w:r>
      <w:r w:rsidR="00F6193A" w:rsidRPr="00155A7C">
        <w:rPr>
          <w:b/>
          <w:bCs/>
          <w:lang w:val="en-GB"/>
        </w:rPr>
        <w:br/>
      </w:r>
      <w:r w:rsidR="00F6193A" w:rsidRPr="00155A7C">
        <w:rPr>
          <w:b/>
          <w:bCs/>
          <w:lang w:val="en-GB"/>
        </w:rPr>
        <w:br/>
      </w:r>
      <w:r w:rsidR="00F6193A" w:rsidRPr="00F6193A">
        <w:rPr>
          <w:lang w:val="en-US"/>
        </w:rPr>
        <w:t>As with all high-quality network components, tde as a premium supplier also relies on European manufacturing for the RJ45 Keystone module. This enables the network expert to ensure continuous supply chains and guarantee that no individual components are missing from tde's own production at the production site in the district of Osnabrück</w:t>
      </w:r>
      <w:r w:rsidR="00F6193A">
        <w:rPr>
          <w:lang w:val="en-US"/>
        </w:rPr>
        <w:t xml:space="preserve"> (Lower Saxony)</w:t>
      </w:r>
      <w:r w:rsidR="00F6193A" w:rsidRPr="00F6193A">
        <w:rPr>
          <w:lang w:val="en-US"/>
        </w:rPr>
        <w:t xml:space="preserve">.  </w:t>
      </w:r>
    </w:p>
    <w:p w14:paraId="70EBE462" w14:textId="3A55424B" w:rsidR="007547E9" w:rsidRPr="007547E9" w:rsidRDefault="002E53FC" w:rsidP="00207AD2">
      <w:pPr>
        <w:spacing w:line="360" w:lineRule="auto"/>
        <w:rPr>
          <w:i/>
          <w:iCs/>
          <w:lang w:val="en-US"/>
        </w:rPr>
      </w:pPr>
      <w:r w:rsidRPr="009845AC">
        <w:rPr>
          <w:lang w:val="en-US"/>
        </w:rPr>
        <w:t>Complements</w:t>
      </w:r>
      <w:r w:rsidR="007547E9" w:rsidRPr="007547E9">
        <w:rPr>
          <w:i/>
          <w:iCs/>
          <w:lang w:val="en-US"/>
        </w:rPr>
        <w:t xml:space="preserve"> the tBL system solution </w:t>
      </w:r>
    </w:p>
    <w:p w14:paraId="3FD32EAD" w14:textId="118C7092" w:rsidR="007547E9" w:rsidRPr="007547E9" w:rsidRDefault="007547E9" w:rsidP="007547E9">
      <w:pPr>
        <w:spacing w:line="360" w:lineRule="auto"/>
        <w:rPr>
          <w:lang w:val="en-US"/>
        </w:rPr>
      </w:pPr>
      <w:r w:rsidRPr="007547E9">
        <w:rPr>
          <w:lang w:val="en-US"/>
        </w:rPr>
        <w:t>The tBL RJ45 keystone module complements the successful tBL system solution for structured cabling</w:t>
      </w:r>
      <w:r w:rsidR="005D54FA">
        <w:rPr>
          <w:lang w:val="en-US"/>
        </w:rPr>
        <w:t xml:space="preserve"> of buildings</w:t>
      </w:r>
      <w:r w:rsidRPr="007547E9">
        <w:rPr>
          <w:lang w:val="en-US"/>
        </w:rPr>
        <w:t xml:space="preserve"> in Cat6A for transmission rates of up to 10GbE in real time. The tBL cabling </w:t>
      </w:r>
      <w:r w:rsidR="005D54FA">
        <w:rPr>
          <w:lang w:val="en-US"/>
        </w:rPr>
        <w:t xml:space="preserve">link is equivalent to a </w:t>
      </w:r>
      <w:r w:rsidRPr="007547E9">
        <w:rPr>
          <w:lang w:val="en-US"/>
        </w:rPr>
        <w:t xml:space="preserve">permanent link in accordance </w:t>
      </w:r>
      <w:r w:rsidR="005D54FA">
        <w:rPr>
          <w:lang w:val="en-US"/>
        </w:rPr>
        <w:t xml:space="preserve">to </w:t>
      </w:r>
      <w:r w:rsidRPr="007547E9">
        <w:rPr>
          <w:lang w:val="en-US"/>
        </w:rPr>
        <w:t>ISO/IEC 11801 (EN50173). Network technicians benefit from the tool-</w:t>
      </w:r>
      <w:r w:rsidR="00307567">
        <w:rPr>
          <w:lang w:val="en-US"/>
        </w:rPr>
        <w:t>less</w:t>
      </w:r>
      <w:r w:rsidRPr="007547E9">
        <w:rPr>
          <w:lang w:val="en-US"/>
        </w:rPr>
        <w:t xml:space="preserve"> installation: the module can be </w:t>
      </w:r>
      <w:r w:rsidR="00307567">
        <w:rPr>
          <w:lang w:val="en-US"/>
        </w:rPr>
        <w:t xml:space="preserve">mounted </w:t>
      </w:r>
      <w:r w:rsidRPr="007547E9">
        <w:rPr>
          <w:lang w:val="en-US"/>
        </w:rPr>
        <w:t>on the cable without additional tools, making it quick, convenient and particularly easy to install. All that is needed is a pair of side cutters.</w:t>
      </w:r>
      <w:r w:rsidRPr="007547E9">
        <w:rPr>
          <w:lang w:val="en-US"/>
        </w:rPr>
        <w:br/>
        <w:t xml:space="preserve">The </w:t>
      </w:r>
      <w:r w:rsidR="005D54FA">
        <w:rPr>
          <w:lang w:val="en-US"/>
        </w:rPr>
        <w:t xml:space="preserve">connector module´s housing </w:t>
      </w:r>
      <w:r w:rsidRPr="007547E9">
        <w:rPr>
          <w:lang w:val="en-US"/>
        </w:rPr>
        <w:t>has an installation dimension of 19.4 mm x 14.7 mm and is made of a nickel-plated die-cast</w:t>
      </w:r>
      <w:r w:rsidR="00C56CEF">
        <w:rPr>
          <w:lang w:val="en-US"/>
        </w:rPr>
        <w:t xml:space="preserve"> </w:t>
      </w:r>
      <w:r w:rsidR="00C56CEF" w:rsidRPr="007547E9">
        <w:rPr>
          <w:lang w:val="en-US"/>
        </w:rPr>
        <w:t>zinc</w:t>
      </w:r>
      <w:r w:rsidRPr="007547E9">
        <w:rPr>
          <w:lang w:val="en-US"/>
        </w:rPr>
        <w:t xml:space="preserve">. This surface treatment gives a more uniform appearance and also provides better corrosion protection. The module is suitable for the installation of cables with a core diameter of AWG 22 to AWG 24. The </w:t>
      </w:r>
      <w:r w:rsidR="005D54FA" w:rsidRPr="00521AAE">
        <w:rPr>
          <w:lang w:val="en-US"/>
        </w:rPr>
        <w:t xml:space="preserve">independent test laboratory </w:t>
      </w:r>
      <w:r w:rsidR="00521AAE" w:rsidRPr="007547E9">
        <w:rPr>
          <w:lang w:val="en-US"/>
        </w:rPr>
        <w:t xml:space="preserve">GHMT </w:t>
      </w:r>
      <w:r w:rsidR="00521AAE">
        <w:rPr>
          <w:lang w:val="en-US"/>
        </w:rPr>
        <w:t>(</w:t>
      </w:r>
      <w:r w:rsidRPr="007547E9">
        <w:rPr>
          <w:lang w:val="en-US"/>
        </w:rPr>
        <w:t xml:space="preserve">Gesellschaft für Hochfrequenz-Messtechnik) has also certified the RJ45 keystone module in its independent test laboratory according to the evaluation standards ISO/IEC 11801 and IEC 60603-7-51. It thus </w:t>
      </w:r>
      <w:r w:rsidRPr="007547E9">
        <w:rPr>
          <w:lang w:val="en-US"/>
        </w:rPr>
        <w:lastRenderedPageBreak/>
        <w:t xml:space="preserve">corresponds to the Cat6A category for a maximum frequency of up to 500MHz. </w:t>
      </w:r>
      <w:r w:rsidR="00521AAE">
        <w:rPr>
          <w:lang w:val="en-US"/>
        </w:rPr>
        <w:br/>
      </w:r>
      <w:r w:rsidR="00521AAE">
        <w:rPr>
          <w:i/>
          <w:iCs/>
          <w:lang w:val="en-US"/>
        </w:rPr>
        <w:br/>
      </w:r>
      <w:r w:rsidRPr="007547E9">
        <w:rPr>
          <w:i/>
          <w:iCs/>
          <w:lang w:val="en-US"/>
        </w:rPr>
        <w:t>Shutter against dust</w:t>
      </w:r>
      <w:r w:rsidR="00521AAE">
        <w:rPr>
          <w:i/>
          <w:iCs/>
          <w:lang w:val="en-US"/>
        </w:rPr>
        <w:br/>
      </w:r>
      <w:r w:rsidRPr="007547E9">
        <w:rPr>
          <w:lang w:val="en-US"/>
        </w:rPr>
        <w:t xml:space="preserve">Dust particles on the connector's contacts can lead to faulty contacts. This can be problematic, especially in office environments. Therefore, the RJ45 keystone module now also integrates a shutter made of transparent plastic as dust protection.  </w:t>
      </w:r>
    </w:p>
    <w:p w14:paraId="03264FA9" w14:textId="78B4E202" w:rsidR="008A1362" w:rsidRPr="008A1362" w:rsidRDefault="008A1362" w:rsidP="008A1362">
      <w:pPr>
        <w:rPr>
          <w:i/>
          <w:iCs/>
          <w:lang w:val="en-US"/>
        </w:rPr>
      </w:pPr>
      <w:r w:rsidRPr="008A1362">
        <w:rPr>
          <w:i/>
          <w:iCs/>
          <w:lang w:val="en-US"/>
        </w:rPr>
        <w:t xml:space="preserve">The tBL </w:t>
      </w:r>
      <w:r w:rsidR="00E17BC7">
        <w:rPr>
          <w:i/>
          <w:iCs/>
          <w:lang w:val="en-US"/>
        </w:rPr>
        <w:t>–</w:t>
      </w:r>
      <w:r w:rsidRPr="008A1362">
        <w:rPr>
          <w:i/>
          <w:iCs/>
          <w:lang w:val="en-US"/>
        </w:rPr>
        <w:t xml:space="preserve"> tde Basic Link system solution</w:t>
      </w:r>
    </w:p>
    <w:p w14:paraId="483DE100" w14:textId="77777777" w:rsidR="008A1362" w:rsidRPr="008A1362" w:rsidRDefault="008A1362" w:rsidP="008A1362">
      <w:pPr>
        <w:spacing w:line="360" w:lineRule="auto"/>
        <w:rPr>
          <w:lang w:val="en-US"/>
        </w:rPr>
      </w:pPr>
      <w:r w:rsidRPr="008A1362">
        <w:rPr>
          <w:lang w:val="en-US"/>
        </w:rPr>
        <w:t xml:space="preserve">The tBL system solution comprises a comprehensive portfolio of carrier systems. This also includes design-capable junction boxes, floor tank inserts, consolidation point enclosures, top-hat rail modules and 19-inch patch panels. They can be combined with all switch ranges from leading manufacturers. </w:t>
      </w:r>
    </w:p>
    <w:p w14:paraId="61F13BC4" w14:textId="77777777" w:rsidR="008A1362" w:rsidRDefault="008A1362" w:rsidP="008A1362">
      <w:pPr>
        <w:spacing w:line="276" w:lineRule="auto"/>
        <w:rPr>
          <w:lang w:val="en-GB"/>
        </w:rPr>
      </w:pPr>
      <w:r>
        <w:rPr>
          <w:b/>
          <w:bCs/>
          <w:sz w:val="18"/>
          <w:szCs w:val="18"/>
          <w:lang w:val="en-GB"/>
        </w:rPr>
        <w:t xml:space="preserve">About tde – trans data elektronik GmbH </w:t>
      </w:r>
      <w:r>
        <w:rPr>
          <w:b/>
          <w:bCs/>
          <w:sz w:val="18"/>
          <w:szCs w:val="18"/>
          <w:lang w:val="en-GB"/>
        </w:rPr>
        <w:br/>
      </w:r>
      <w:r>
        <w:rPr>
          <w:sz w:val="18"/>
          <w:szCs w:val="18"/>
          <w:lang w:val="en-GB"/>
        </w:rPr>
        <w:t xml:space="preserve">For more than 30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 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hyperlink r:id="rId10" w:history="1">
        <w:r w:rsidRPr="009E7355">
          <w:rPr>
            <w:rStyle w:val="Hyperlink"/>
            <w:sz w:val="18"/>
            <w:szCs w:val="18"/>
            <w:lang w:val="en-GB"/>
          </w:rPr>
          <w:t>www.tde.de/en/</w:t>
        </w:r>
      </w:hyperlink>
      <w:r>
        <w:rPr>
          <w:lang w:val="en-GB"/>
        </w:rPr>
        <w:t xml:space="preserve"> </w:t>
      </w:r>
      <w:r w:rsidRPr="0088496C">
        <w:rPr>
          <w:sz w:val="18"/>
          <w:szCs w:val="16"/>
          <w:lang w:val="en-US"/>
        </w:rPr>
        <w:t xml:space="preserve">or </w:t>
      </w:r>
      <w:r>
        <w:rPr>
          <w:sz w:val="18"/>
          <w:szCs w:val="16"/>
          <w:lang w:val="en-US"/>
        </w:rPr>
        <w:t>f</w:t>
      </w:r>
      <w:r w:rsidRPr="0088496C">
        <w:rPr>
          <w:sz w:val="18"/>
          <w:szCs w:val="16"/>
          <w:lang w:val="en-US"/>
        </w:rPr>
        <w:t>ol</w:t>
      </w:r>
      <w:r>
        <w:rPr>
          <w:sz w:val="18"/>
          <w:szCs w:val="16"/>
          <w:lang w:val="en-US"/>
        </w:rPr>
        <w:t xml:space="preserve">low us on </w:t>
      </w:r>
      <w:hyperlink r:id="rId11" w:history="1">
        <w:r w:rsidRPr="0088496C">
          <w:rPr>
            <w:rStyle w:val="Hyperlink"/>
            <w:rFonts w:cs="Calibri"/>
            <w:sz w:val="18"/>
            <w:szCs w:val="16"/>
            <w:lang w:val="en-US"/>
          </w:rPr>
          <w:t>LinkedIn</w:t>
        </w:r>
      </w:hyperlink>
      <w:r w:rsidRPr="0088496C">
        <w:rPr>
          <w:sz w:val="18"/>
          <w:szCs w:val="16"/>
          <w:lang w:val="en-US"/>
        </w:rPr>
        <w:t xml:space="preserve">, </w:t>
      </w:r>
      <w:hyperlink r:id="rId12" w:history="1">
        <w:r w:rsidRPr="0088496C">
          <w:rPr>
            <w:rStyle w:val="Hyperlink"/>
            <w:rFonts w:cs="Calibri"/>
            <w:sz w:val="18"/>
            <w:szCs w:val="16"/>
            <w:lang w:val="en-US"/>
          </w:rPr>
          <w:t>Twitter</w:t>
        </w:r>
      </w:hyperlink>
      <w:r w:rsidRPr="0088496C">
        <w:rPr>
          <w:sz w:val="18"/>
          <w:szCs w:val="16"/>
          <w:lang w:val="en-US"/>
        </w:rPr>
        <w:t xml:space="preserve"> </w:t>
      </w:r>
      <w:r>
        <w:rPr>
          <w:sz w:val="18"/>
          <w:szCs w:val="16"/>
          <w:lang w:val="en-US"/>
        </w:rPr>
        <w:t>a</w:t>
      </w:r>
      <w:r w:rsidRPr="0088496C">
        <w:rPr>
          <w:sz w:val="18"/>
          <w:szCs w:val="16"/>
          <w:lang w:val="en-US"/>
        </w:rPr>
        <w:t xml:space="preserve">nd </w:t>
      </w:r>
      <w:hyperlink r:id="rId13" w:history="1">
        <w:r w:rsidRPr="0088496C">
          <w:rPr>
            <w:rStyle w:val="Hyperlink"/>
            <w:rFonts w:cs="Calibri"/>
            <w:sz w:val="18"/>
            <w:szCs w:val="16"/>
            <w:lang w:val="en-US"/>
          </w:rPr>
          <w:t>Xing</w:t>
        </w:r>
      </w:hyperlink>
      <w:r w:rsidRPr="0088496C">
        <w:rPr>
          <w:rStyle w:val="Hyperlink"/>
          <w:rFonts w:cs="Calibri"/>
          <w:sz w:val="18"/>
          <w:szCs w:val="16"/>
          <w:lang w:val="en-US"/>
        </w:rPr>
        <w:t>.</w:t>
      </w:r>
    </w:p>
    <w:p w14:paraId="448EE01D" w14:textId="77777777" w:rsidR="008A1362" w:rsidRDefault="008A1362" w:rsidP="008A1362">
      <w:pPr>
        <w:rPr>
          <w:rStyle w:val="Hyperlink"/>
          <w:rFonts w:cs="Calibri"/>
        </w:rPr>
      </w:pPr>
      <w:r w:rsidRPr="00302ED9">
        <w:rPr>
          <w:b/>
          <w:bCs/>
          <w:sz w:val="18"/>
          <w:szCs w:val="18"/>
        </w:rPr>
        <w:t xml:space="preserve">Customer contact: </w:t>
      </w:r>
      <w:r w:rsidRPr="00302ED9">
        <w:rPr>
          <w:b/>
          <w:bCs/>
          <w:sz w:val="18"/>
          <w:szCs w:val="18"/>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4" w:history="1">
        <w:r>
          <w:rPr>
            <w:rStyle w:val="Hyperlink"/>
            <w:rFonts w:cs="Calibri"/>
            <w:sz w:val="18"/>
          </w:rPr>
          <w:t>info@tde.de</w:t>
        </w:r>
      </w:hyperlink>
      <w:r>
        <w:rPr>
          <w:sz w:val="18"/>
          <w:szCs w:val="16"/>
        </w:rPr>
        <w:t xml:space="preserve">, </w:t>
      </w:r>
      <w:hyperlink r:id="rId15" w:history="1">
        <w:r>
          <w:rPr>
            <w:rStyle w:val="Hyperlink"/>
            <w:rFonts w:cs="Calibri"/>
            <w:sz w:val="18"/>
          </w:rPr>
          <w:t>www.tde.de</w:t>
        </w:r>
      </w:hyperlink>
    </w:p>
    <w:p w14:paraId="383889FC" w14:textId="77777777" w:rsidR="008A1362" w:rsidRPr="009845AC" w:rsidRDefault="008A1362" w:rsidP="008A1362">
      <w:pPr>
        <w:spacing w:after="0"/>
        <w:jc w:val="both"/>
        <w:rPr>
          <w:b/>
          <w:bCs/>
          <w:sz w:val="18"/>
          <w:szCs w:val="18"/>
        </w:rPr>
      </w:pPr>
      <w:r w:rsidRPr="009845AC">
        <w:rPr>
          <w:b/>
          <w:bCs/>
          <w:sz w:val="18"/>
          <w:szCs w:val="18"/>
        </w:rPr>
        <w:t>Press contact:</w:t>
      </w:r>
    </w:p>
    <w:p w14:paraId="6C124D07" w14:textId="77777777" w:rsidR="008A1362" w:rsidRPr="009845AC" w:rsidRDefault="008A1362" w:rsidP="008A1362">
      <w:pPr>
        <w:spacing w:after="0"/>
        <w:jc w:val="both"/>
      </w:pPr>
      <w:r w:rsidRPr="009845AC">
        <w:rPr>
          <w:sz w:val="18"/>
          <w:szCs w:val="16"/>
        </w:rPr>
        <w:t>EPR Advisors, Maximilianstraße 50, D - 86150 Augsburg</w:t>
      </w:r>
    </w:p>
    <w:p w14:paraId="1522067F" w14:textId="77777777" w:rsidR="008A1362" w:rsidRDefault="008A1362" w:rsidP="008A1362">
      <w:pPr>
        <w:spacing w:after="0"/>
        <w:jc w:val="both"/>
      </w:pPr>
      <w:r>
        <w:rPr>
          <w:sz w:val="18"/>
          <w:szCs w:val="16"/>
        </w:rPr>
        <w:t xml:space="preserve">Frauke Schütz, Tel: +49 821 4508 7916, </w:t>
      </w:r>
      <w:hyperlink r:id="rId16" w:history="1">
        <w:r>
          <w:rPr>
            <w:rStyle w:val="Hyperlink"/>
            <w:rFonts w:cs="Calibri"/>
            <w:sz w:val="18"/>
          </w:rPr>
          <w:t>fs@epr-online.de</w:t>
        </w:r>
      </w:hyperlink>
    </w:p>
    <w:p w14:paraId="556000D7" w14:textId="77777777" w:rsidR="008A1362" w:rsidRPr="0076140B" w:rsidRDefault="008A1362" w:rsidP="008A1362">
      <w:pPr>
        <w:spacing w:after="0"/>
        <w:jc w:val="both"/>
        <w:rPr>
          <w:sz w:val="18"/>
        </w:rPr>
      </w:pPr>
      <w:r w:rsidRPr="0076140B">
        <w:rPr>
          <w:sz w:val="18"/>
          <w:szCs w:val="16"/>
        </w:rPr>
        <w:t>Elke Thiergärtner, Tel: +49 821 4508 7912,</w:t>
      </w:r>
      <w:r w:rsidRPr="0076140B">
        <w:rPr>
          <w:b/>
          <w:sz w:val="18"/>
          <w:szCs w:val="16"/>
        </w:rPr>
        <w:t xml:space="preserve"> </w:t>
      </w:r>
      <w:r w:rsidRPr="0076140B">
        <w:rPr>
          <w:rStyle w:val="Hyperlink"/>
          <w:rFonts w:cs="Calibri"/>
          <w:sz w:val="18"/>
        </w:rPr>
        <w:t>et@epr-online.de</w:t>
      </w:r>
    </w:p>
    <w:p w14:paraId="5F0D159D" w14:textId="77777777" w:rsidR="008A1362" w:rsidRPr="00E843AA" w:rsidRDefault="00D059BD" w:rsidP="008A1362">
      <w:pPr>
        <w:spacing w:after="0"/>
        <w:jc w:val="both"/>
        <w:rPr>
          <w:rFonts w:cs="Verdana"/>
          <w:sz w:val="18"/>
          <w:szCs w:val="16"/>
        </w:rPr>
      </w:pPr>
      <w:hyperlink r:id="rId17" w:history="1">
        <w:r w:rsidR="008A1362" w:rsidRPr="009663BF">
          <w:rPr>
            <w:rStyle w:val="Hyperlink"/>
            <w:rFonts w:cs="Calibri"/>
            <w:sz w:val="18"/>
          </w:rPr>
          <w:t>www.epr-online.de</w:t>
        </w:r>
      </w:hyperlink>
      <w:r w:rsidR="008A1362" w:rsidRPr="00E843AA">
        <w:rPr>
          <w:rFonts w:cs="Verdana"/>
          <w:sz w:val="18"/>
          <w:szCs w:val="16"/>
        </w:rPr>
        <w:t xml:space="preserve"> </w:t>
      </w:r>
    </w:p>
    <w:p w14:paraId="7A05DDA8" w14:textId="19EB6988" w:rsidR="005370DA" w:rsidRDefault="005370DA"/>
    <w:sectPr w:rsidR="005370DA">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F5B9" w14:textId="77777777" w:rsidR="00454B99" w:rsidRDefault="00454B99" w:rsidP="00DE441A">
      <w:pPr>
        <w:spacing w:after="0" w:line="240" w:lineRule="auto"/>
      </w:pPr>
      <w:r>
        <w:separator/>
      </w:r>
    </w:p>
  </w:endnote>
  <w:endnote w:type="continuationSeparator" w:id="0">
    <w:p w14:paraId="2C54A880" w14:textId="77777777" w:rsidR="00454B99" w:rsidRDefault="00454B99" w:rsidP="00DE441A">
      <w:pPr>
        <w:spacing w:after="0" w:line="240" w:lineRule="auto"/>
      </w:pPr>
      <w:r>
        <w:continuationSeparator/>
      </w:r>
    </w:p>
  </w:endnote>
  <w:endnote w:type="continuationNotice" w:id="1">
    <w:p w14:paraId="0B1EF11B" w14:textId="77777777" w:rsidR="00D059BD" w:rsidRDefault="00D05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9B83" w14:textId="77777777" w:rsidR="00454B99" w:rsidRDefault="00454B99" w:rsidP="00DE441A">
      <w:pPr>
        <w:spacing w:after="0" w:line="240" w:lineRule="auto"/>
      </w:pPr>
      <w:r>
        <w:separator/>
      </w:r>
    </w:p>
  </w:footnote>
  <w:footnote w:type="continuationSeparator" w:id="0">
    <w:p w14:paraId="6B8C21AA" w14:textId="77777777" w:rsidR="00454B99" w:rsidRDefault="00454B99" w:rsidP="00DE441A">
      <w:pPr>
        <w:spacing w:after="0" w:line="240" w:lineRule="auto"/>
      </w:pPr>
      <w:r>
        <w:continuationSeparator/>
      </w:r>
    </w:p>
  </w:footnote>
  <w:footnote w:type="continuationNotice" w:id="1">
    <w:p w14:paraId="46D5DC03" w14:textId="77777777" w:rsidR="00D059BD" w:rsidRDefault="00D05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BA96" w14:textId="0092BAFD" w:rsidR="00DE441A" w:rsidRDefault="00DE441A" w:rsidP="00DE441A">
    <w:pPr>
      <w:pStyle w:val="Kopfzeile"/>
      <w:jc w:val="right"/>
      <w:rPr>
        <w:rFonts w:ascii="Verdana" w:hAnsi="Verdana" w:cs="Verdana"/>
        <w:color w:val="808080"/>
        <w:sz w:val="20"/>
        <w:szCs w:val="20"/>
      </w:rPr>
    </w:pPr>
    <w:r>
      <w:rPr>
        <w:noProof/>
      </w:rPr>
      <w:drawing>
        <wp:anchor distT="0" distB="0" distL="114300" distR="114300" simplePos="0" relativeHeight="251658240" behindDoc="1" locked="0" layoutInCell="1" allowOverlap="1" wp14:anchorId="0C33490F" wp14:editId="2891F6DE">
          <wp:simplePos x="0" y="0"/>
          <wp:positionH relativeFrom="column">
            <wp:posOffset>4710836</wp:posOffset>
          </wp:positionH>
          <wp:positionV relativeFrom="paragraph">
            <wp:posOffset>-208280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EFD83" w14:textId="77777777" w:rsidR="00DE441A" w:rsidRDefault="00DE441A" w:rsidP="00DE441A">
    <w:pPr>
      <w:pStyle w:val="Kopfzeile"/>
      <w:jc w:val="right"/>
      <w:rPr>
        <w:rFonts w:ascii="Verdana" w:hAnsi="Verdana" w:cs="Verdana"/>
        <w:color w:val="808080"/>
        <w:sz w:val="20"/>
        <w:szCs w:val="20"/>
      </w:rPr>
    </w:pPr>
  </w:p>
  <w:p w14:paraId="02AA5401" w14:textId="0F976A1A" w:rsidR="00DE441A" w:rsidRDefault="00DE441A" w:rsidP="00DE441A">
    <w:pPr>
      <w:pStyle w:val="Kopfzeile"/>
      <w:jc w:val="right"/>
      <w:rPr>
        <w:rFonts w:ascii="Verdana" w:hAnsi="Verdana" w:cs="Verdana"/>
        <w:color w:val="808080"/>
        <w:sz w:val="20"/>
        <w:szCs w:val="20"/>
      </w:rPr>
    </w:pPr>
  </w:p>
  <w:p w14:paraId="5991A101" w14:textId="2E2072FC" w:rsidR="00DE441A" w:rsidRDefault="00DE441A" w:rsidP="00DE441A">
    <w:pPr>
      <w:pStyle w:val="Kopfzeile"/>
      <w:jc w:val="right"/>
      <w:rPr>
        <w:rFonts w:ascii="Verdana" w:hAnsi="Verdana" w:cs="Verdana"/>
        <w:color w:val="808080"/>
        <w:sz w:val="20"/>
        <w:szCs w:val="20"/>
      </w:rPr>
    </w:pPr>
  </w:p>
  <w:p w14:paraId="55550ACB" w14:textId="77777777" w:rsidR="00DE441A" w:rsidRDefault="00DE441A" w:rsidP="00DE441A">
    <w:pPr>
      <w:pStyle w:val="Kopfzeile"/>
      <w:jc w:val="right"/>
      <w:rPr>
        <w:rFonts w:ascii="Verdana" w:hAnsi="Verdana" w:cs="Verdana"/>
        <w:color w:val="808080"/>
        <w:sz w:val="20"/>
        <w:szCs w:val="20"/>
      </w:rPr>
    </w:pPr>
  </w:p>
  <w:p w14:paraId="3A404CF7" w14:textId="0B9D212B" w:rsidR="00DE441A" w:rsidRDefault="00DE441A" w:rsidP="00DE441A">
    <w:pPr>
      <w:pStyle w:val="Kopfzeile"/>
      <w:jc w:val="right"/>
    </w:pPr>
    <w:r>
      <w:rPr>
        <w:rFonts w:ascii="Verdana" w:hAnsi="Verdana" w:cs="Verdana"/>
        <w:color w:val="808080"/>
        <w:sz w:val="20"/>
        <w:szCs w:val="20"/>
      </w:rPr>
      <w:tab/>
    </w:r>
    <w:r>
      <w:rPr>
        <w:rFonts w:ascii="Verdana" w:hAnsi="Verdana" w:cs="Verdana"/>
        <w:color w:val="808080"/>
        <w:sz w:val="20"/>
        <w:szCs w:val="20"/>
      </w:rPr>
      <w:tab/>
    </w:r>
    <w:r w:rsidRPr="00DE7D51">
      <w:rPr>
        <w:rFonts w:ascii="Verdana" w:hAnsi="Verdana" w:cs="Verdana"/>
        <w:color w:val="808080"/>
        <w:sz w:val="20"/>
        <w:szCs w:val="20"/>
      </w:rPr>
      <w:t>Press</w:t>
    </w:r>
    <w:r w:rsidR="00F6193A">
      <w:rPr>
        <w:rFonts w:ascii="Verdana" w:hAnsi="Verdana" w:cs="Verdana"/>
        <w:color w:val="808080"/>
        <w:sz w:val="20"/>
        <w:szCs w:val="20"/>
      </w:rPr>
      <w:t xml:space="preserve"> release</w:t>
    </w:r>
    <w:r>
      <w:rPr>
        <w:noProof/>
        <w:lang w:eastAsia="de-DE"/>
      </w:rPr>
      <w:t xml:space="preserve"> </w:t>
    </w:r>
  </w:p>
  <w:p w14:paraId="549155E4" w14:textId="6FCF58E8" w:rsidR="00DE441A" w:rsidRDefault="00DE44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F6"/>
    <w:rsid w:val="000309F6"/>
    <w:rsid w:val="000447AE"/>
    <w:rsid w:val="00087B5F"/>
    <w:rsid w:val="000C2871"/>
    <w:rsid w:val="00111B39"/>
    <w:rsid w:val="00114AA8"/>
    <w:rsid w:val="00155A7C"/>
    <w:rsid w:val="0018576E"/>
    <w:rsid w:val="001C3EFD"/>
    <w:rsid w:val="001C7F89"/>
    <w:rsid w:val="001F6D67"/>
    <w:rsid w:val="00207AD2"/>
    <w:rsid w:val="00212B71"/>
    <w:rsid w:val="00266E45"/>
    <w:rsid w:val="002A2B0D"/>
    <w:rsid w:val="002A737E"/>
    <w:rsid w:val="002B4E8D"/>
    <w:rsid w:val="002C2535"/>
    <w:rsid w:val="002E53FC"/>
    <w:rsid w:val="00307567"/>
    <w:rsid w:val="003401D7"/>
    <w:rsid w:val="00373FA9"/>
    <w:rsid w:val="00401124"/>
    <w:rsid w:val="0043195D"/>
    <w:rsid w:val="00454B99"/>
    <w:rsid w:val="004B25BC"/>
    <w:rsid w:val="004D3BFD"/>
    <w:rsid w:val="004F1058"/>
    <w:rsid w:val="00511FFB"/>
    <w:rsid w:val="00521AAE"/>
    <w:rsid w:val="00536E65"/>
    <w:rsid w:val="005370DA"/>
    <w:rsid w:val="00573BF7"/>
    <w:rsid w:val="005842D5"/>
    <w:rsid w:val="005C0D7F"/>
    <w:rsid w:val="005C2862"/>
    <w:rsid w:val="005C3625"/>
    <w:rsid w:val="005D54FA"/>
    <w:rsid w:val="005F78F1"/>
    <w:rsid w:val="00615083"/>
    <w:rsid w:val="006156E3"/>
    <w:rsid w:val="006710EC"/>
    <w:rsid w:val="00676CDA"/>
    <w:rsid w:val="006A58C7"/>
    <w:rsid w:val="006B7FCD"/>
    <w:rsid w:val="0070652C"/>
    <w:rsid w:val="0075135E"/>
    <w:rsid w:val="007547E9"/>
    <w:rsid w:val="00836EA1"/>
    <w:rsid w:val="008A1362"/>
    <w:rsid w:val="008A642C"/>
    <w:rsid w:val="008B5D49"/>
    <w:rsid w:val="0095503F"/>
    <w:rsid w:val="009845AC"/>
    <w:rsid w:val="009B114F"/>
    <w:rsid w:val="009C734E"/>
    <w:rsid w:val="00A17A0D"/>
    <w:rsid w:val="00A309EF"/>
    <w:rsid w:val="00A44037"/>
    <w:rsid w:val="00A46BFF"/>
    <w:rsid w:val="00A640FB"/>
    <w:rsid w:val="00AF3AE7"/>
    <w:rsid w:val="00B532E2"/>
    <w:rsid w:val="00C362CB"/>
    <w:rsid w:val="00C56CEF"/>
    <w:rsid w:val="00CB07D0"/>
    <w:rsid w:val="00CD6C49"/>
    <w:rsid w:val="00CF32B0"/>
    <w:rsid w:val="00D059BD"/>
    <w:rsid w:val="00D2154F"/>
    <w:rsid w:val="00D26899"/>
    <w:rsid w:val="00DA6440"/>
    <w:rsid w:val="00DB3E8D"/>
    <w:rsid w:val="00DB6B05"/>
    <w:rsid w:val="00DE441A"/>
    <w:rsid w:val="00DE55F3"/>
    <w:rsid w:val="00E17BC7"/>
    <w:rsid w:val="00E71F44"/>
    <w:rsid w:val="00E80B40"/>
    <w:rsid w:val="00EE2D57"/>
    <w:rsid w:val="00EF2CE2"/>
    <w:rsid w:val="00F36B81"/>
    <w:rsid w:val="00F46F53"/>
    <w:rsid w:val="00F6193A"/>
    <w:rsid w:val="00FD1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B6A7"/>
  <w15:chartTrackingRefBased/>
  <w15:docId w15:val="{C3D18AD3-25B0-4735-AF1C-2156B70A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E2D5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E2D57"/>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B7FCD"/>
    <w:rPr>
      <w:color w:val="0563C1" w:themeColor="hyperlink"/>
      <w:u w:val="single"/>
    </w:rPr>
  </w:style>
  <w:style w:type="character" w:styleId="NichtaufgelsteErwhnung">
    <w:name w:val="Unresolved Mention"/>
    <w:basedOn w:val="Absatz-Standardschriftart"/>
    <w:uiPriority w:val="99"/>
    <w:semiHidden/>
    <w:unhideWhenUsed/>
    <w:rsid w:val="006B7FCD"/>
    <w:rPr>
      <w:color w:val="605E5C"/>
      <w:shd w:val="clear" w:color="auto" w:fill="E1DFDD"/>
    </w:rPr>
  </w:style>
  <w:style w:type="character" w:styleId="Kommentarzeichen">
    <w:name w:val="annotation reference"/>
    <w:basedOn w:val="Absatz-Standardschriftart"/>
    <w:uiPriority w:val="99"/>
    <w:semiHidden/>
    <w:unhideWhenUsed/>
    <w:rsid w:val="00676CDA"/>
    <w:rPr>
      <w:sz w:val="16"/>
      <w:szCs w:val="16"/>
    </w:rPr>
  </w:style>
  <w:style w:type="paragraph" w:styleId="Kommentartext">
    <w:name w:val="annotation text"/>
    <w:basedOn w:val="Standard"/>
    <w:link w:val="KommentartextZchn"/>
    <w:uiPriority w:val="99"/>
    <w:unhideWhenUsed/>
    <w:rsid w:val="00676CDA"/>
    <w:pPr>
      <w:spacing w:line="240" w:lineRule="auto"/>
    </w:pPr>
    <w:rPr>
      <w:sz w:val="20"/>
      <w:szCs w:val="20"/>
    </w:rPr>
  </w:style>
  <w:style w:type="character" w:customStyle="1" w:styleId="KommentartextZchn">
    <w:name w:val="Kommentartext Zchn"/>
    <w:basedOn w:val="Absatz-Standardschriftart"/>
    <w:link w:val="Kommentartext"/>
    <w:uiPriority w:val="99"/>
    <w:rsid w:val="00676CDA"/>
    <w:rPr>
      <w:sz w:val="20"/>
      <w:szCs w:val="20"/>
    </w:rPr>
  </w:style>
  <w:style w:type="paragraph" w:styleId="Kommentarthema">
    <w:name w:val="annotation subject"/>
    <w:basedOn w:val="Kommentartext"/>
    <w:next w:val="Kommentartext"/>
    <w:link w:val="KommentarthemaZchn"/>
    <w:uiPriority w:val="99"/>
    <w:semiHidden/>
    <w:unhideWhenUsed/>
    <w:rsid w:val="00676CDA"/>
    <w:rPr>
      <w:b/>
      <w:bCs/>
    </w:rPr>
  </w:style>
  <w:style w:type="character" w:customStyle="1" w:styleId="KommentarthemaZchn">
    <w:name w:val="Kommentarthema Zchn"/>
    <w:basedOn w:val="KommentartextZchn"/>
    <w:link w:val="Kommentarthema"/>
    <w:uiPriority w:val="99"/>
    <w:semiHidden/>
    <w:rsid w:val="00676CDA"/>
    <w:rPr>
      <w:b/>
      <w:bCs/>
      <w:sz w:val="20"/>
      <w:szCs w:val="20"/>
    </w:rPr>
  </w:style>
  <w:style w:type="character" w:styleId="BesuchterLink">
    <w:name w:val="FollowedHyperlink"/>
    <w:basedOn w:val="Absatz-Standardschriftart"/>
    <w:uiPriority w:val="99"/>
    <w:semiHidden/>
    <w:unhideWhenUsed/>
    <w:rsid w:val="004D3BFD"/>
    <w:rPr>
      <w:color w:val="954F72" w:themeColor="followedHyperlink"/>
      <w:u w:val="single"/>
    </w:rPr>
  </w:style>
  <w:style w:type="paragraph" w:styleId="Kopfzeile">
    <w:name w:val="header"/>
    <w:basedOn w:val="Standard"/>
    <w:link w:val="KopfzeileZchn"/>
    <w:uiPriority w:val="99"/>
    <w:unhideWhenUsed/>
    <w:rsid w:val="00DE44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41A"/>
  </w:style>
  <w:style w:type="paragraph" w:styleId="Fuzeile">
    <w:name w:val="footer"/>
    <w:basedOn w:val="Standard"/>
    <w:link w:val="FuzeileZchn"/>
    <w:uiPriority w:val="99"/>
    <w:unhideWhenUsed/>
    <w:rsid w:val="00DE44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41A"/>
  </w:style>
  <w:style w:type="paragraph" w:styleId="berarbeitung">
    <w:name w:val="Revision"/>
    <w:hidden/>
    <w:uiPriority w:val="99"/>
    <w:semiHidden/>
    <w:rsid w:val="002C2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31101">
      <w:bodyDiv w:val="1"/>
      <w:marLeft w:val="0"/>
      <w:marRight w:val="0"/>
      <w:marTop w:val="0"/>
      <w:marBottom w:val="0"/>
      <w:divBdr>
        <w:top w:val="none" w:sz="0" w:space="0" w:color="auto"/>
        <w:left w:val="none" w:sz="0" w:space="0" w:color="auto"/>
        <w:bottom w:val="none" w:sz="0" w:space="0" w:color="auto"/>
        <w:right w:val="none" w:sz="0" w:space="0" w:color="auto"/>
      </w:divBdr>
    </w:div>
    <w:div w:id="15346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xing.com/companies/tde-transdataelektronikgmbh/updat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tdeConnect" TargetMode="External"/><Relationship Id="rId17" Type="http://schemas.openxmlformats.org/officeDocument/2006/relationships/hyperlink" Target="http://www.epr-online.de" TargetMode="External"/><Relationship Id="rId2" Type="http://schemas.openxmlformats.org/officeDocument/2006/relationships/customXml" Target="../customXml/item2.xml"/><Relationship Id="rId16" Type="http://schemas.openxmlformats.org/officeDocument/2006/relationships/hyperlink" Target="mailto:fs@epr-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tde-trans-data-elektronik-gmbh/" TargetMode="External"/><Relationship Id="rId5" Type="http://schemas.openxmlformats.org/officeDocument/2006/relationships/styles" Target="styles.xml"/><Relationship Id="rId15" Type="http://schemas.openxmlformats.org/officeDocument/2006/relationships/hyperlink" Target="http://www.tde.de/" TargetMode="External"/><Relationship Id="rId10" Type="http://schemas.openxmlformats.org/officeDocument/2006/relationships/hyperlink" Target="http://www.tde.de/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t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6" ma:contentTypeDescription="Ein neues Dokument erstellen." ma:contentTypeScope="" ma:versionID="0ed1608f2cf4b78c4d521fbe492c024d">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ef54c996ba323a3fb2b67e9ae9db8e89"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5719cc0-6c5b-4615-8981-280e7d5ba2de}" ma:internalName="TaxCatchAll" ma:showField="CatchAllData" ma:web="61c9187e-b015-4e8a-9477-780509d1e1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c9187e-b015-4e8a-9477-780509d1e15a" xsi:nil="true"/>
    <lcf76f155ced4ddcb4097134ff3c332f xmlns="767845a4-9e8d-47dc-a6ae-60a9828df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07A514-CD12-49E3-8CC7-29042F5B1E9A}">
  <ds:schemaRefs>
    <ds:schemaRef ds:uri="http://schemas.microsoft.com/sharepoint/v3/contenttype/forms"/>
  </ds:schemaRefs>
</ds:datastoreItem>
</file>

<file path=customXml/itemProps2.xml><?xml version="1.0" encoding="utf-8"?>
<ds:datastoreItem xmlns:ds="http://schemas.openxmlformats.org/officeDocument/2006/customXml" ds:itemID="{EE9B325C-7CAE-422B-9D55-0E5C02FB5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C27E3-A1D9-4E07-AD1F-4558C7580546}">
  <ds:schemaRefs>
    <ds:schemaRef ds:uri="http://schemas.microsoft.com/office/2006/metadata/properties"/>
    <ds:schemaRef ds:uri="http://schemas.microsoft.com/office/infopath/2007/PartnerControls"/>
    <ds:schemaRef ds:uri="61c9187e-b015-4e8a-9477-780509d1e15a"/>
    <ds:schemaRef ds:uri="767845a4-9e8d-47dc-a6ae-60a9828df8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Advisors</dc:creator>
  <cp:keywords/>
  <dc:description/>
  <cp:lastModifiedBy>Frauke Schütz | EPR Advisors</cp:lastModifiedBy>
  <cp:revision>16</cp:revision>
  <dcterms:created xsi:type="dcterms:W3CDTF">2022-09-12T07:37:00Z</dcterms:created>
  <dcterms:modified xsi:type="dcterms:W3CDTF">2022-09-19T07:16:00Z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y fmtid="{D5CDD505-2E9C-101B-9397-08002B2CF9AE}" pid="3" name="MediaServiceImageTags">
    <vt:lpwstr/>
  </property>
</Properties>
</file>