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D80D" w14:textId="77777777" w:rsidR="00DE441A" w:rsidRDefault="00DE441A">
      <w:pPr>
        <w:rPr>
          <w:b/>
          <w:bCs/>
          <w:u w:val="single"/>
        </w:rPr>
      </w:pPr>
    </w:p>
    <w:p w14:paraId="52E2407A" w14:textId="1475DF31" w:rsidR="0070652C" w:rsidRPr="002A737E" w:rsidRDefault="002A737E">
      <w:pPr>
        <w:rPr>
          <w:b/>
          <w:bCs/>
          <w:u w:val="single"/>
        </w:rPr>
      </w:pPr>
      <w:r w:rsidRPr="002A737E">
        <w:rPr>
          <w:b/>
          <w:bCs/>
          <w:u w:val="single"/>
        </w:rPr>
        <w:t xml:space="preserve">Nachhaltig in </w:t>
      </w:r>
      <w:r w:rsidR="004B25BC" w:rsidRPr="002A737E">
        <w:rPr>
          <w:b/>
          <w:bCs/>
          <w:u w:val="single"/>
        </w:rPr>
        <w:t>Europa gefertigt</w:t>
      </w:r>
      <w:r w:rsidRPr="002A737E">
        <w:rPr>
          <w:b/>
          <w:bCs/>
          <w:u w:val="single"/>
        </w:rPr>
        <w:t xml:space="preserve"> und sofort lieferbar</w:t>
      </w:r>
    </w:p>
    <w:p w14:paraId="17644478" w14:textId="3818D23A" w:rsidR="000447AE" w:rsidRPr="000447AE" w:rsidRDefault="000447AE" w:rsidP="00A17A0D">
      <w:pPr>
        <w:spacing w:line="360" w:lineRule="auto"/>
        <w:rPr>
          <w:b/>
          <w:bCs/>
          <w:sz w:val="28"/>
          <w:szCs w:val="28"/>
        </w:rPr>
      </w:pPr>
      <w:r w:rsidRPr="000447AE">
        <w:rPr>
          <w:b/>
          <w:bCs/>
          <w:sz w:val="28"/>
          <w:szCs w:val="28"/>
        </w:rPr>
        <w:t xml:space="preserve">tBL RJ45 Keystone-Modul von tde: </w:t>
      </w:r>
      <w:r w:rsidR="00CB07D0">
        <w:rPr>
          <w:b/>
          <w:bCs/>
          <w:sz w:val="28"/>
          <w:szCs w:val="28"/>
        </w:rPr>
        <w:t xml:space="preserve">Noch </w:t>
      </w:r>
      <w:r w:rsidR="00F46F53">
        <w:rPr>
          <w:b/>
          <w:bCs/>
          <w:sz w:val="28"/>
          <w:szCs w:val="28"/>
        </w:rPr>
        <w:t>h</w:t>
      </w:r>
      <w:r w:rsidRPr="000447AE">
        <w:rPr>
          <w:b/>
          <w:bCs/>
          <w:sz w:val="28"/>
          <w:szCs w:val="28"/>
        </w:rPr>
        <w:t>öherwertiger, haltbarer und mit Shutter als Staubschutz</w:t>
      </w:r>
    </w:p>
    <w:p w14:paraId="049B489A" w14:textId="3377A661" w:rsidR="0070652C" w:rsidRDefault="0070652C" w:rsidP="00A46BFF">
      <w:pPr>
        <w:spacing w:line="360" w:lineRule="auto"/>
        <w:rPr>
          <w:b/>
          <w:bCs/>
        </w:rPr>
      </w:pPr>
      <w:r>
        <w:rPr>
          <w:b/>
          <w:bCs/>
        </w:rPr>
        <w:t xml:space="preserve">Dortmund, </w:t>
      </w:r>
      <w:r w:rsidR="005519E6">
        <w:rPr>
          <w:b/>
          <w:bCs/>
        </w:rPr>
        <w:t>20</w:t>
      </w:r>
      <w:r>
        <w:rPr>
          <w:b/>
          <w:bCs/>
        </w:rPr>
        <w:t xml:space="preserve">. September 2022. </w:t>
      </w:r>
      <w:r w:rsidR="000C2871">
        <w:rPr>
          <w:b/>
          <w:bCs/>
        </w:rPr>
        <w:t xml:space="preserve">Die tde – trans data elektronik GmbH bietet Kunden ab sofort ein </w:t>
      </w:r>
      <w:r w:rsidR="00A640FB">
        <w:rPr>
          <w:b/>
          <w:bCs/>
        </w:rPr>
        <w:t xml:space="preserve">weiterentwickeltes und </w:t>
      </w:r>
      <w:r w:rsidR="000C2871">
        <w:rPr>
          <w:b/>
          <w:bCs/>
        </w:rPr>
        <w:t>verbessertes tBL RJ45</w:t>
      </w:r>
      <w:r w:rsidR="000645B3">
        <w:rPr>
          <w:b/>
          <w:bCs/>
        </w:rPr>
        <w:t xml:space="preserve"> </w:t>
      </w:r>
      <w:r w:rsidR="000C2871">
        <w:rPr>
          <w:b/>
          <w:bCs/>
        </w:rPr>
        <w:t>Keystone-Modul für die erfolgreiche Systemlösung tBL – tde Basic Link (TP)</w:t>
      </w:r>
      <w:r w:rsidR="00A640FB">
        <w:rPr>
          <w:b/>
          <w:bCs/>
        </w:rPr>
        <w:t>:</w:t>
      </w:r>
      <w:r w:rsidR="005842D5">
        <w:rPr>
          <w:b/>
          <w:bCs/>
        </w:rPr>
        <w:t xml:space="preserve"> </w:t>
      </w:r>
      <w:r w:rsidR="006156E3">
        <w:rPr>
          <w:b/>
          <w:bCs/>
        </w:rPr>
        <w:t>Das Modulgehäuse ist aus vernickeltem Zinkdruckguss gefertigt</w:t>
      </w:r>
      <w:r w:rsidR="00615083">
        <w:rPr>
          <w:b/>
          <w:bCs/>
        </w:rPr>
        <w:t xml:space="preserve">, </w:t>
      </w:r>
      <w:r w:rsidR="006156E3">
        <w:rPr>
          <w:b/>
          <w:bCs/>
        </w:rPr>
        <w:t xml:space="preserve">erfüllt </w:t>
      </w:r>
      <w:r w:rsidR="00A46BFF">
        <w:rPr>
          <w:b/>
          <w:bCs/>
        </w:rPr>
        <w:t>höchste Anforderungen an die Umwelt</w:t>
      </w:r>
      <w:r w:rsidR="00D2154F">
        <w:rPr>
          <w:b/>
          <w:bCs/>
        </w:rPr>
        <w:t>verträglichkeit</w:t>
      </w:r>
      <w:r w:rsidR="00A46BFF">
        <w:rPr>
          <w:b/>
          <w:bCs/>
        </w:rPr>
        <w:t xml:space="preserve">, </w:t>
      </w:r>
      <w:r w:rsidR="00615083">
        <w:rPr>
          <w:b/>
          <w:bCs/>
        </w:rPr>
        <w:t xml:space="preserve">ist haltbar </w:t>
      </w:r>
      <w:r w:rsidR="00A309EF">
        <w:rPr>
          <w:b/>
          <w:bCs/>
        </w:rPr>
        <w:t xml:space="preserve">designt </w:t>
      </w:r>
      <w:r w:rsidR="00615083">
        <w:rPr>
          <w:b/>
          <w:bCs/>
        </w:rPr>
        <w:t xml:space="preserve">und vor </w:t>
      </w:r>
      <w:r w:rsidR="00A46BFF">
        <w:rPr>
          <w:b/>
          <w:bCs/>
        </w:rPr>
        <w:t>mechanischen Einflüssen</w:t>
      </w:r>
      <w:r w:rsidR="00615083">
        <w:rPr>
          <w:b/>
          <w:bCs/>
        </w:rPr>
        <w:t xml:space="preserve"> geschützt</w:t>
      </w:r>
      <w:r w:rsidR="00A46BFF">
        <w:rPr>
          <w:b/>
          <w:bCs/>
        </w:rPr>
        <w:t xml:space="preserve">. </w:t>
      </w:r>
      <w:r w:rsidR="00615083">
        <w:rPr>
          <w:b/>
          <w:bCs/>
        </w:rPr>
        <w:t>Zum Schutz vor Staub integriert d</w:t>
      </w:r>
      <w:r w:rsidR="00573BF7">
        <w:rPr>
          <w:b/>
          <w:bCs/>
        </w:rPr>
        <w:t>as Modul nun auch einen Shutter aus durchsichtigem Kunststoff</w:t>
      </w:r>
      <w:r w:rsidR="00A46BFF">
        <w:rPr>
          <w:b/>
          <w:bCs/>
        </w:rPr>
        <w:t xml:space="preserve">. </w:t>
      </w:r>
      <w:r w:rsidR="00573BF7">
        <w:rPr>
          <w:b/>
          <w:bCs/>
        </w:rPr>
        <w:t xml:space="preserve">Unverändert </w:t>
      </w:r>
      <w:r w:rsidR="00615083">
        <w:rPr>
          <w:b/>
          <w:bCs/>
        </w:rPr>
        <w:t xml:space="preserve">hoch </w:t>
      </w:r>
      <w:r w:rsidR="00E80B40">
        <w:rPr>
          <w:b/>
          <w:bCs/>
        </w:rPr>
        <w:t xml:space="preserve">– abhängig von der Qualität der Montage und des Kabels – </w:t>
      </w:r>
      <w:r w:rsidR="00DB6B05">
        <w:rPr>
          <w:b/>
          <w:bCs/>
        </w:rPr>
        <w:t xml:space="preserve">bleiben die hervorragende Performance mit zusätzlichen Reserven sowie das zeitsparende und werkzeuglose Handling bei Montage und Verkabelung. Das tBL RJ45 Keystone-Modul ist in Europa gefertigt, im Lager verfügbar sowie </w:t>
      </w:r>
      <w:r w:rsidR="00A309EF">
        <w:rPr>
          <w:b/>
          <w:bCs/>
        </w:rPr>
        <w:t xml:space="preserve">jederzeit </w:t>
      </w:r>
      <w:r w:rsidR="00DB6B05">
        <w:rPr>
          <w:b/>
          <w:bCs/>
        </w:rPr>
        <w:t xml:space="preserve">lieferbar.  </w:t>
      </w:r>
    </w:p>
    <w:p w14:paraId="2D76ED37" w14:textId="1FCCDD83" w:rsidR="004F1058" w:rsidRDefault="004F1058" w:rsidP="00A46BFF">
      <w:pPr>
        <w:spacing w:line="360" w:lineRule="auto"/>
      </w:pPr>
      <w:r w:rsidRPr="004F1058">
        <w:t xml:space="preserve">Wie bei allen qualitativ hochwertigen Netzwerkkomponenten setzt die tde </w:t>
      </w:r>
      <w:r w:rsidR="00511FFB">
        <w:t>als</w:t>
      </w:r>
      <w:r w:rsidR="00511FFB" w:rsidRPr="004F1058">
        <w:t xml:space="preserve"> Premium</w:t>
      </w:r>
      <w:r w:rsidR="00511FFB">
        <w:t>a</w:t>
      </w:r>
      <w:r w:rsidR="00511FFB" w:rsidRPr="004F1058">
        <w:t>nbi</w:t>
      </w:r>
      <w:r w:rsidR="00511FFB">
        <w:t>e</w:t>
      </w:r>
      <w:r w:rsidR="00511FFB" w:rsidRPr="004F1058">
        <w:t xml:space="preserve">ter </w:t>
      </w:r>
      <w:r w:rsidRPr="004F1058">
        <w:t>auch beim RJ45 Keystone-Modul au</w:t>
      </w:r>
      <w:r w:rsidR="0043195D">
        <w:t>f</w:t>
      </w:r>
      <w:r w:rsidRPr="004F1058">
        <w:t xml:space="preserve"> </w:t>
      </w:r>
      <w:r w:rsidR="0043195D">
        <w:t>e</w:t>
      </w:r>
      <w:r w:rsidRPr="004F1058">
        <w:t>urop</w:t>
      </w:r>
      <w:r w:rsidR="0043195D">
        <w:t>äische Fertigung</w:t>
      </w:r>
      <w:r w:rsidRPr="004F1058">
        <w:t>. D</w:t>
      </w:r>
      <w:r>
        <w:t xml:space="preserve">amit </w:t>
      </w:r>
      <w:r w:rsidR="00DE55F3">
        <w:t xml:space="preserve">kann der Netzwerkexperte durchgängige Lieferketten sicherstellen und garantieren, dass keine Einzelkomponenten in der tde-eigenen Fertigung am Produktionsstandort im Landkreis Osnabrück fehlen. </w:t>
      </w:r>
      <w:r>
        <w:t xml:space="preserve"> </w:t>
      </w:r>
    </w:p>
    <w:p w14:paraId="78CAC6F4" w14:textId="5F7ED659" w:rsidR="00C362CB" w:rsidRPr="00C362CB" w:rsidRDefault="00C362CB" w:rsidP="00A46BFF">
      <w:pPr>
        <w:spacing w:line="360" w:lineRule="auto"/>
        <w:rPr>
          <w:i/>
          <w:iCs/>
        </w:rPr>
      </w:pPr>
      <w:r w:rsidRPr="00C362CB">
        <w:rPr>
          <w:i/>
          <w:iCs/>
        </w:rPr>
        <w:t xml:space="preserve">Ergänzt die tBL-Systemlösung </w:t>
      </w:r>
    </w:p>
    <w:p w14:paraId="05C19D78" w14:textId="68546923" w:rsidR="00D26899" w:rsidRDefault="00D26899" w:rsidP="00207AD2">
      <w:pPr>
        <w:spacing w:line="360" w:lineRule="auto"/>
        <w:rPr>
          <w:highlight w:val="yellow"/>
        </w:rPr>
      </w:pPr>
      <w:r w:rsidRPr="00D26899">
        <w:t xml:space="preserve">Das tBL RJ45 Keystone-Modul ergänzt </w:t>
      </w:r>
      <w:r w:rsidR="00FD1CFA">
        <w:t>d</w:t>
      </w:r>
      <w:r w:rsidRPr="00D26899">
        <w:t xml:space="preserve">ie </w:t>
      </w:r>
      <w:r w:rsidR="005F78F1">
        <w:t xml:space="preserve">erfolgreiche Systemlösung tBL für die strukturierte Gebäudeverkabelung in Cat6A für Übertragungsraten von bis zu 10GbE in Echtzeit. </w:t>
      </w:r>
      <w:r w:rsidR="008B5D49">
        <w:t>Dabei entspricht d</w:t>
      </w:r>
      <w:r w:rsidR="005F78F1">
        <w:t xml:space="preserve">ie tBL-Verkabelungsstrecke einem Permanentlink gemäß ISO/IEC 11801 (EN50173). </w:t>
      </w:r>
      <w:r w:rsidR="008B5D49">
        <w:t>Netzwerktechniker profiti</w:t>
      </w:r>
      <w:r w:rsidR="009B114F">
        <w:t>e</w:t>
      </w:r>
      <w:r w:rsidR="008B5D49">
        <w:t xml:space="preserve">ren von der </w:t>
      </w:r>
      <w:r w:rsidR="00373FA9">
        <w:t xml:space="preserve">werkzeuglosen Montage: Das Auflegen des Moduls am Kabel </w:t>
      </w:r>
      <w:r w:rsidR="004D3BFD">
        <w:t xml:space="preserve">ist </w:t>
      </w:r>
      <w:r w:rsidR="00373FA9">
        <w:t>ohne zusätzliches Werkzeug möglich</w:t>
      </w:r>
      <w:r w:rsidR="004D3BFD">
        <w:t xml:space="preserve">, wodurch </w:t>
      </w:r>
      <w:r w:rsidR="00373FA9">
        <w:t>es sich schnell, bequem und besonders einfach installieren</w:t>
      </w:r>
      <w:r w:rsidR="004D3BFD">
        <w:t xml:space="preserve"> lässt</w:t>
      </w:r>
      <w:r w:rsidR="00373FA9">
        <w:t xml:space="preserve">. </w:t>
      </w:r>
      <w:r w:rsidR="0043195D">
        <w:t>Es wird lediglich ein Seitenschneider benötigt.</w:t>
      </w:r>
    </w:p>
    <w:p w14:paraId="1B3386B0" w14:textId="1CAD0405" w:rsidR="00D26899" w:rsidRDefault="005C2862" w:rsidP="00207AD2">
      <w:pPr>
        <w:spacing w:line="360" w:lineRule="auto"/>
      </w:pPr>
      <w:r w:rsidRPr="005C2862">
        <w:t xml:space="preserve">Das </w:t>
      </w:r>
      <w:r>
        <w:t xml:space="preserve">Gehäuse des Steckverbinders-Anschlussmoduls </w:t>
      </w:r>
      <w:r w:rsidR="00676CDA">
        <w:t>hat ein Einbaumaß von 19,</w:t>
      </w:r>
      <w:r w:rsidR="003401D7">
        <w:t>4</w:t>
      </w:r>
      <w:r w:rsidR="00676CDA">
        <w:t xml:space="preserve"> mm x 14,</w:t>
      </w:r>
      <w:r w:rsidR="003401D7">
        <w:t>7</w:t>
      </w:r>
      <w:r w:rsidR="00676CDA">
        <w:t xml:space="preserve"> mm und besteht aus einem vernickelten Zinkdruckguss. </w:t>
      </w:r>
      <w:r w:rsidR="00207AD2">
        <w:t>Die</w:t>
      </w:r>
      <w:r w:rsidR="00536E65">
        <w:t xml:space="preserve">se </w:t>
      </w:r>
      <w:r w:rsidR="00676CDA">
        <w:t>Oberflächenbehandlung</w:t>
      </w:r>
      <w:r w:rsidR="00207AD2">
        <w:t xml:space="preserve"> ergibt ein gleichmäßigeres Erscheinungsbild und bietet zu</w:t>
      </w:r>
      <w:r w:rsidR="001C3EFD">
        <w:t xml:space="preserve">dem </w:t>
      </w:r>
      <w:r w:rsidR="00207AD2">
        <w:t xml:space="preserve">einen </w:t>
      </w:r>
      <w:r w:rsidR="00536E65">
        <w:t xml:space="preserve">besseren </w:t>
      </w:r>
      <w:r w:rsidR="00207AD2">
        <w:t>Korrosionsschutz.</w:t>
      </w:r>
      <w:r w:rsidR="00B532E2">
        <w:t xml:space="preserve"> </w:t>
      </w:r>
      <w:r w:rsidR="00536E65">
        <w:t>Das Modul eignet sich für die Instal</w:t>
      </w:r>
      <w:r w:rsidR="00AF3AE7">
        <w:t>l</w:t>
      </w:r>
      <w:r w:rsidR="00536E65">
        <w:t xml:space="preserve">ation von Kabeln mit einem </w:t>
      </w:r>
      <w:r w:rsidR="008A642C">
        <w:t>Aderdurchmesser</w:t>
      </w:r>
      <w:r w:rsidR="00AF3AE7">
        <w:t xml:space="preserve"> von </w:t>
      </w:r>
      <w:r w:rsidR="00536E65">
        <w:t>AWG 22 bis AWG 2</w:t>
      </w:r>
      <w:r w:rsidR="003401D7">
        <w:t>4</w:t>
      </w:r>
      <w:r w:rsidR="00536E65">
        <w:t xml:space="preserve">. </w:t>
      </w:r>
      <w:r w:rsidR="008A642C">
        <w:t xml:space="preserve">Auch die Gesellschaft für </w:t>
      </w:r>
      <w:r w:rsidR="004D3BFD">
        <w:t>H</w:t>
      </w:r>
      <w:r w:rsidR="008A642C">
        <w:t>ochfrequenz-Messtechnik (GHMT) hat in ihrem unabhängi</w:t>
      </w:r>
      <w:r w:rsidR="002B4E8D">
        <w:t>g</w:t>
      </w:r>
      <w:r w:rsidR="008A642C">
        <w:t xml:space="preserve">en Prüflabor </w:t>
      </w:r>
      <w:r w:rsidR="008A642C">
        <w:lastRenderedPageBreak/>
        <w:t>das RJ45</w:t>
      </w:r>
      <w:r w:rsidR="000645B3">
        <w:t xml:space="preserve"> </w:t>
      </w:r>
      <w:r w:rsidR="008A642C">
        <w:t>K</w:t>
      </w:r>
      <w:r w:rsidR="004D3BFD">
        <w:t>e</w:t>
      </w:r>
      <w:r w:rsidR="008A642C">
        <w:t xml:space="preserve">ystone-Modul nach den </w:t>
      </w:r>
      <w:r w:rsidR="004D3BFD">
        <w:t>Bewertungsstandards ISO/IEC 11801 und IEC 60603-7-51 zertifiziert</w:t>
      </w:r>
      <w:r w:rsidR="00111B39">
        <w:t xml:space="preserve">. Damit entspricht es der Kategorie Cat6A für eine maximale Frequenz von bis zu 500 MHz. </w:t>
      </w:r>
      <w:r w:rsidR="004D3BFD">
        <w:t xml:space="preserve"> </w:t>
      </w:r>
      <w:r w:rsidR="008A642C">
        <w:t xml:space="preserve"> </w:t>
      </w:r>
      <w:r w:rsidR="00536E65">
        <w:t xml:space="preserve"> </w:t>
      </w:r>
    </w:p>
    <w:p w14:paraId="50270A5A" w14:textId="4CF16FD7" w:rsidR="00DE441A" w:rsidRPr="00DE441A" w:rsidRDefault="00DE441A" w:rsidP="00207AD2">
      <w:pPr>
        <w:spacing w:line="360" w:lineRule="auto"/>
        <w:rPr>
          <w:i/>
          <w:iCs/>
        </w:rPr>
      </w:pPr>
      <w:r w:rsidRPr="00DE441A">
        <w:rPr>
          <w:i/>
          <w:iCs/>
        </w:rPr>
        <w:t>Shutter gegen Staub</w:t>
      </w:r>
    </w:p>
    <w:p w14:paraId="206CFBE3" w14:textId="49C43DCC" w:rsidR="00B532E2" w:rsidRDefault="005C0D7F" w:rsidP="00207AD2">
      <w:pPr>
        <w:spacing w:line="360" w:lineRule="auto"/>
      </w:pPr>
      <w:r>
        <w:t xml:space="preserve">Staubpartikel auf den Kontakten </w:t>
      </w:r>
      <w:r w:rsidR="00EF2CE2">
        <w:t xml:space="preserve">des Steckverbinders </w:t>
      </w:r>
      <w:r>
        <w:t>können zu Fehlkontaktierungen führen. Dies kann vor allem in Büroumgebungen problematisch sein. Deshalb integrie</w:t>
      </w:r>
      <w:r w:rsidR="00EF2CE2">
        <w:t>r</w:t>
      </w:r>
      <w:r>
        <w:t>t das RJ45</w:t>
      </w:r>
      <w:r w:rsidR="006935BF">
        <w:t xml:space="preserve"> </w:t>
      </w:r>
      <w:r>
        <w:t xml:space="preserve">Keystone-Modul </w:t>
      </w:r>
      <w:r w:rsidR="00EF2CE2">
        <w:t xml:space="preserve">jetzt auch </w:t>
      </w:r>
      <w:r>
        <w:t>einen S</w:t>
      </w:r>
      <w:r w:rsidR="00EF2CE2">
        <w:t>h</w:t>
      </w:r>
      <w:r>
        <w:t xml:space="preserve">utter </w:t>
      </w:r>
      <w:r w:rsidR="00087B5F">
        <w:t xml:space="preserve">aus durchsichtigem Kunststoff </w:t>
      </w:r>
      <w:r>
        <w:t xml:space="preserve">als Staubschutz.  </w:t>
      </w:r>
      <w:r w:rsidR="00D2154F">
        <w:br/>
      </w:r>
      <w:r w:rsidR="00D2154F">
        <w:rPr>
          <w:i/>
          <w:iCs/>
        </w:rPr>
        <w:br/>
      </w:r>
      <w:r w:rsidR="00D2154F" w:rsidRPr="00D2154F">
        <w:rPr>
          <w:i/>
          <w:iCs/>
        </w:rPr>
        <w:t>Die tBL – tde Basic Link Systemlösung</w:t>
      </w:r>
    </w:p>
    <w:p w14:paraId="4B8D77A9" w14:textId="40D65A98" w:rsidR="006B7FCD" w:rsidRDefault="00087B5F" w:rsidP="00DE441A">
      <w:pPr>
        <w:spacing w:line="360" w:lineRule="auto"/>
      </w:pPr>
      <w:r>
        <w:t xml:space="preserve">Die tBL-Systemlösung umfasst ein umfangreiches Portfolio an </w:t>
      </w:r>
      <w:r w:rsidR="00DE441A">
        <w:t>T</w:t>
      </w:r>
      <w:r>
        <w:t>rägersy</w:t>
      </w:r>
      <w:r w:rsidR="00DE441A">
        <w:t>s</w:t>
      </w:r>
      <w:r>
        <w:t>temen</w:t>
      </w:r>
      <w:r w:rsidR="00DE441A">
        <w:t>. Dazu gehören auch d</w:t>
      </w:r>
      <w:r>
        <w:t>e</w:t>
      </w:r>
      <w:r w:rsidR="00DE441A">
        <w:t>s</w:t>
      </w:r>
      <w:r>
        <w:t>ignfähige Anschlussdosen</w:t>
      </w:r>
      <w:r w:rsidR="00DE441A">
        <w:t xml:space="preserve">, Bodentankeinsätze, Consolidationpoint-Gehäuse, Hutschienenmodule und 19-Zoll-Patchfelder. Sie sind mit allen Schalterprogrammen führender Hersteller kombinierbar. </w:t>
      </w:r>
    </w:p>
    <w:p w14:paraId="5EE1B98E" w14:textId="77777777" w:rsidR="00DE441A" w:rsidRDefault="00DE441A" w:rsidP="00DE441A">
      <w:pPr>
        <w:rPr>
          <w:rStyle w:val="Hyperlink"/>
          <w:sz w:val="18"/>
        </w:rPr>
      </w:pPr>
      <w:r>
        <w:rPr>
          <w:rFonts w:cs="Verdana"/>
          <w:b/>
          <w:bCs/>
          <w:sz w:val="18"/>
          <w:szCs w:val="16"/>
        </w:rPr>
        <w:t>Über die tde – trans data elektronik GmbH</w:t>
      </w:r>
      <w:r>
        <w:rPr>
          <w:sz w:val="18"/>
          <w:szCs w:val="16"/>
        </w:rPr>
        <w:br/>
        <w:t xml:space="preserve">Als international erfolgreiches Unternehmen ist die tde – trans data elektronik GmbH seit mehr als 30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>
        <w:rPr>
          <w:color w:val="000000"/>
          <w:sz w:val="18"/>
          <w:szCs w:val="16"/>
        </w:rPr>
        <w:br/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Mehr unter: </w:t>
      </w:r>
      <w:hyperlink r:id="rId9" w:history="1">
        <w:r>
          <w:rPr>
            <w:rStyle w:val="Hyperlink"/>
            <w:sz w:val="18"/>
          </w:rPr>
          <w:t>www.tde.de</w:t>
        </w:r>
      </w:hyperlink>
      <w:r>
        <w:rPr>
          <w:rStyle w:val="Hyperlink"/>
          <w:sz w:val="18"/>
        </w:rPr>
        <w:t xml:space="preserve"> </w:t>
      </w:r>
      <w:r w:rsidRPr="008379C6">
        <w:rPr>
          <w:sz w:val="18"/>
          <w:szCs w:val="16"/>
        </w:rPr>
        <w:t xml:space="preserve">sowie auf </w:t>
      </w:r>
      <w:hyperlink r:id="rId10" w:history="1">
        <w:r w:rsidRPr="008379C6">
          <w:rPr>
            <w:rStyle w:val="Hyperlink"/>
            <w:sz w:val="18"/>
            <w:szCs w:val="16"/>
          </w:rPr>
          <w:t>LinkedIn</w:t>
        </w:r>
      </w:hyperlink>
      <w:r w:rsidRPr="008379C6">
        <w:rPr>
          <w:sz w:val="18"/>
          <w:szCs w:val="16"/>
        </w:rPr>
        <w:t xml:space="preserve">, </w:t>
      </w:r>
      <w:hyperlink r:id="rId11" w:history="1">
        <w:r w:rsidRPr="008379C6">
          <w:rPr>
            <w:rStyle w:val="Hyperlink"/>
            <w:sz w:val="18"/>
            <w:szCs w:val="16"/>
          </w:rPr>
          <w:t>Twitter</w:t>
        </w:r>
      </w:hyperlink>
      <w:r w:rsidRPr="008379C6">
        <w:rPr>
          <w:sz w:val="18"/>
          <w:szCs w:val="16"/>
        </w:rPr>
        <w:t xml:space="preserve"> und </w:t>
      </w:r>
      <w:hyperlink r:id="rId12" w:history="1">
        <w:r w:rsidRPr="000C77E9">
          <w:rPr>
            <w:rStyle w:val="Hyperlink"/>
            <w:sz w:val="18"/>
            <w:szCs w:val="16"/>
          </w:rPr>
          <w:t>Xing</w:t>
        </w:r>
      </w:hyperlink>
      <w:r w:rsidRPr="008379C6">
        <w:rPr>
          <w:sz w:val="18"/>
          <w:szCs w:val="16"/>
        </w:rPr>
        <w:t xml:space="preserve">. </w:t>
      </w:r>
      <w:r>
        <w:rPr>
          <w:sz w:val="18"/>
          <w:szCs w:val="16"/>
        </w:rPr>
        <w:br/>
      </w:r>
      <w:r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3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4" w:history="1">
        <w:r>
          <w:rPr>
            <w:rStyle w:val="Hyperlink"/>
            <w:sz w:val="18"/>
          </w:rPr>
          <w:t>www.tde.de</w:t>
        </w:r>
      </w:hyperlink>
    </w:p>
    <w:p w14:paraId="1498581D" w14:textId="77777777" w:rsidR="00DE441A" w:rsidRDefault="00DE441A" w:rsidP="00DE441A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 w:rsidRPr="008E784D">
        <w:rPr>
          <w:sz w:val="18"/>
          <w:szCs w:val="16"/>
        </w:rPr>
        <w:t>EPR Advisors</w:t>
      </w:r>
      <w:r>
        <w:rPr>
          <w:sz w:val="18"/>
          <w:szCs w:val="16"/>
        </w:rPr>
        <w:t>, Maximilianstraße 50, D - 86150 Augsburg</w:t>
      </w:r>
    </w:p>
    <w:p w14:paraId="33791253" w14:textId="77777777" w:rsidR="00DE441A" w:rsidRDefault="00DE441A" w:rsidP="00DE441A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5" w:history="1">
        <w:r>
          <w:rPr>
            <w:rStyle w:val="Hyperlink"/>
            <w:sz w:val="18"/>
          </w:rPr>
          <w:t>fs@epr-online.de</w:t>
        </w:r>
      </w:hyperlink>
    </w:p>
    <w:p w14:paraId="46C0C00F" w14:textId="77777777" w:rsidR="00DE441A" w:rsidRPr="00871CC6" w:rsidRDefault="00DE441A" w:rsidP="00DE441A">
      <w:pPr>
        <w:jc w:val="both"/>
        <w:rPr>
          <w:rStyle w:val="Hyperlink"/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r w:rsidRPr="00871CC6">
        <w:rPr>
          <w:rStyle w:val="Hyperlink"/>
          <w:sz w:val="18"/>
          <w:lang w:val="nl-NL"/>
        </w:rPr>
        <w:t>et@epr-online.de</w:t>
      </w:r>
    </w:p>
    <w:p w14:paraId="6B94EB58" w14:textId="77777777" w:rsidR="00DE441A" w:rsidRDefault="00DE441A" w:rsidP="00DE441A">
      <w:pPr>
        <w:jc w:val="both"/>
        <w:rPr>
          <w:rFonts w:ascii="Calibri-Bold" w:hAnsi="Calibri-Bold" w:cs="Calibri-Bold"/>
          <w:b/>
          <w:bCs/>
          <w:u w:color="0563C1"/>
        </w:rPr>
      </w:pPr>
      <w:r>
        <w:rPr>
          <w:rStyle w:val="Hyperlink"/>
          <w:sz w:val="18"/>
          <w:lang w:val="nl-NL"/>
        </w:rPr>
        <w:t>www.epr-online.de</w:t>
      </w:r>
    </w:p>
    <w:p w14:paraId="7A05DDA8" w14:textId="19EB6988" w:rsidR="005370DA" w:rsidRDefault="005370DA"/>
    <w:sectPr w:rsidR="005370DA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47B0" w14:textId="77777777" w:rsidR="006A7195" w:rsidRDefault="006A7195" w:rsidP="00DE441A">
      <w:pPr>
        <w:spacing w:after="0" w:line="240" w:lineRule="auto"/>
      </w:pPr>
      <w:r>
        <w:separator/>
      </w:r>
    </w:p>
  </w:endnote>
  <w:endnote w:type="continuationSeparator" w:id="0">
    <w:p w14:paraId="79692DB0" w14:textId="77777777" w:rsidR="006A7195" w:rsidRDefault="006A7195" w:rsidP="00DE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519F" w14:textId="77777777" w:rsidR="006A7195" w:rsidRDefault="006A7195" w:rsidP="00DE441A">
      <w:pPr>
        <w:spacing w:after="0" w:line="240" w:lineRule="auto"/>
      </w:pPr>
      <w:r>
        <w:separator/>
      </w:r>
    </w:p>
  </w:footnote>
  <w:footnote w:type="continuationSeparator" w:id="0">
    <w:p w14:paraId="4C6DDD4F" w14:textId="77777777" w:rsidR="006A7195" w:rsidRDefault="006A7195" w:rsidP="00DE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BA96" w14:textId="0092BAFD" w:rsidR="00DE441A" w:rsidRDefault="00DE441A" w:rsidP="00DE441A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33490F" wp14:editId="2891F6DE">
          <wp:simplePos x="0" y="0"/>
          <wp:positionH relativeFrom="column">
            <wp:posOffset>4710836</wp:posOffset>
          </wp:positionH>
          <wp:positionV relativeFrom="paragraph">
            <wp:posOffset>-208280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EFD83" w14:textId="77777777" w:rsidR="00DE441A" w:rsidRDefault="00DE441A" w:rsidP="00DE441A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02AA5401" w14:textId="0F976A1A" w:rsidR="00DE441A" w:rsidRDefault="00DE441A" w:rsidP="00DE441A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5991A101" w14:textId="2E2072FC" w:rsidR="00DE441A" w:rsidRDefault="00DE441A" w:rsidP="00DE441A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55550ACB" w14:textId="77777777" w:rsidR="00DE441A" w:rsidRDefault="00DE441A" w:rsidP="00DE441A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3A404CF7" w14:textId="0D38B04C" w:rsidR="00DE441A" w:rsidRDefault="00DE441A" w:rsidP="00DE441A">
    <w:pPr>
      <w:pStyle w:val="Kopfzeile"/>
      <w:jc w:val="right"/>
    </w:pPr>
    <w:r>
      <w:rPr>
        <w:rFonts w:ascii="Verdana" w:hAnsi="Verdana" w:cs="Verdana"/>
        <w:color w:val="808080"/>
        <w:sz w:val="20"/>
        <w:szCs w:val="20"/>
      </w:rPr>
      <w:tab/>
    </w:r>
    <w:r>
      <w:rPr>
        <w:rFonts w:ascii="Verdana" w:hAnsi="Verdana" w:cs="Verdana"/>
        <w:color w:val="808080"/>
        <w:sz w:val="20"/>
        <w:szCs w:val="20"/>
      </w:rPr>
      <w:tab/>
    </w:r>
    <w:r w:rsidRPr="00DE7D51">
      <w:rPr>
        <w:rFonts w:ascii="Verdana" w:hAnsi="Verdana" w:cs="Verdana"/>
        <w:color w:val="808080"/>
        <w:sz w:val="20"/>
        <w:szCs w:val="20"/>
      </w:rPr>
      <w:t>Pressemitteilung</w:t>
    </w:r>
    <w:r>
      <w:rPr>
        <w:noProof/>
        <w:lang w:eastAsia="de-DE"/>
      </w:rPr>
      <w:t xml:space="preserve"> </w:t>
    </w:r>
  </w:p>
  <w:p w14:paraId="549155E4" w14:textId="6FCF58E8" w:rsidR="00DE441A" w:rsidRDefault="00DE44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6"/>
    <w:rsid w:val="000309F6"/>
    <w:rsid w:val="000447AE"/>
    <w:rsid w:val="000645B3"/>
    <w:rsid w:val="00087B5F"/>
    <w:rsid w:val="000C2871"/>
    <w:rsid w:val="00111B39"/>
    <w:rsid w:val="001C3EFD"/>
    <w:rsid w:val="001C7F89"/>
    <w:rsid w:val="001F6D67"/>
    <w:rsid w:val="00207AD2"/>
    <w:rsid w:val="002A2B0D"/>
    <w:rsid w:val="002A737E"/>
    <w:rsid w:val="002B4E8D"/>
    <w:rsid w:val="002C2535"/>
    <w:rsid w:val="003401D7"/>
    <w:rsid w:val="00373FA9"/>
    <w:rsid w:val="0043195D"/>
    <w:rsid w:val="00454B99"/>
    <w:rsid w:val="004B25BC"/>
    <w:rsid w:val="004D3BFD"/>
    <w:rsid w:val="004F1058"/>
    <w:rsid w:val="00511FFB"/>
    <w:rsid w:val="00536E65"/>
    <w:rsid w:val="005370DA"/>
    <w:rsid w:val="005519E6"/>
    <w:rsid w:val="00573BF7"/>
    <w:rsid w:val="005842D5"/>
    <w:rsid w:val="005C0D7F"/>
    <w:rsid w:val="005C2862"/>
    <w:rsid w:val="005F78F1"/>
    <w:rsid w:val="00615083"/>
    <w:rsid w:val="006156E3"/>
    <w:rsid w:val="006710EC"/>
    <w:rsid w:val="00676CDA"/>
    <w:rsid w:val="006935BF"/>
    <w:rsid w:val="006A7195"/>
    <w:rsid w:val="006B7FCD"/>
    <w:rsid w:val="0070652C"/>
    <w:rsid w:val="00740BBB"/>
    <w:rsid w:val="0075135E"/>
    <w:rsid w:val="00836EA1"/>
    <w:rsid w:val="008A642C"/>
    <w:rsid w:val="008B5D49"/>
    <w:rsid w:val="009B114F"/>
    <w:rsid w:val="009C734E"/>
    <w:rsid w:val="00A17A0D"/>
    <w:rsid w:val="00A309EF"/>
    <w:rsid w:val="00A46BFF"/>
    <w:rsid w:val="00A640FB"/>
    <w:rsid w:val="00AB0644"/>
    <w:rsid w:val="00AF3AE7"/>
    <w:rsid w:val="00B532E2"/>
    <w:rsid w:val="00C362CB"/>
    <w:rsid w:val="00CB07D0"/>
    <w:rsid w:val="00CD6C49"/>
    <w:rsid w:val="00D2154F"/>
    <w:rsid w:val="00D26899"/>
    <w:rsid w:val="00DB6B05"/>
    <w:rsid w:val="00DE441A"/>
    <w:rsid w:val="00DE55F3"/>
    <w:rsid w:val="00E71F44"/>
    <w:rsid w:val="00E80B40"/>
    <w:rsid w:val="00EE2D57"/>
    <w:rsid w:val="00EF2CE2"/>
    <w:rsid w:val="00F36B81"/>
    <w:rsid w:val="00F46F53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B6A7"/>
  <w15:chartTrackingRefBased/>
  <w15:docId w15:val="{C3D18AD3-25B0-4735-AF1C-2156B70A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E2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2D5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6B7F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7FC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6C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6C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6C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C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CD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3BF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41A"/>
  </w:style>
  <w:style w:type="paragraph" w:styleId="Fuzeile">
    <w:name w:val="footer"/>
    <w:basedOn w:val="Standard"/>
    <w:link w:val="FuzeileZchn"/>
    <w:uiPriority w:val="99"/>
    <w:unhideWhenUsed/>
    <w:rsid w:val="00DE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41A"/>
  </w:style>
  <w:style w:type="paragraph" w:styleId="berarbeitung">
    <w:name w:val="Revision"/>
    <w:hidden/>
    <w:uiPriority w:val="99"/>
    <w:semiHidden/>
    <w:rsid w:val="002C2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d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tde-transdataelektronikgmbh/updat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tdeConnec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s@epr-online.de" TargetMode="External"/><Relationship Id="rId10" Type="http://schemas.openxmlformats.org/officeDocument/2006/relationships/hyperlink" Target="https://www.linkedin.com/company/tde-trans-data-elektronik-gmbh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de.de/" TargetMode="External"/><Relationship Id="rId14" Type="http://schemas.openxmlformats.org/officeDocument/2006/relationships/hyperlink" Target="http://www.td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9187e-b015-4e8a-9477-780509d1e15a" xsi:nil="true"/>
    <lcf76f155ced4ddcb4097134ff3c332f xmlns="767845a4-9e8d-47dc-a6ae-60a9828df8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6" ma:contentTypeDescription="Ein neues Dokument erstellen." ma:contentTypeScope="" ma:versionID="0ed1608f2cf4b78c4d521fbe492c024d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ef54c996ba323a3fb2b67e9ae9db8e89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719cc0-6c5b-4615-8981-280e7d5ba2de}" ma:internalName="TaxCatchAll" ma:showField="CatchAllData" ma:web="61c9187e-b015-4e8a-9477-780509d1e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C27E3-A1D9-4E07-AD1F-4558C7580546}">
  <ds:schemaRefs>
    <ds:schemaRef ds:uri="http://schemas.microsoft.com/office/2006/metadata/properties"/>
    <ds:schemaRef ds:uri="http://schemas.microsoft.com/office/infopath/2007/PartnerControls"/>
    <ds:schemaRef ds:uri="61c9187e-b015-4e8a-9477-780509d1e15a"/>
    <ds:schemaRef ds:uri="767845a4-9e8d-47dc-a6ae-60a9828df89d"/>
  </ds:schemaRefs>
</ds:datastoreItem>
</file>

<file path=customXml/itemProps2.xml><?xml version="1.0" encoding="utf-8"?>
<ds:datastoreItem xmlns:ds="http://schemas.openxmlformats.org/officeDocument/2006/customXml" ds:itemID="{7507A514-CD12-49E3-8CC7-29042F5B1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B325C-7CAE-422B-9D55-0E5C02FB5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Advisors</dc:creator>
  <cp:keywords/>
  <dc:description/>
  <cp:lastModifiedBy>Miriam Blum | EPR Advisors</cp:lastModifiedBy>
  <cp:revision>7</cp:revision>
  <dcterms:created xsi:type="dcterms:W3CDTF">2022-09-12T07:10:00Z</dcterms:created>
  <dcterms:modified xsi:type="dcterms:W3CDTF">2022-09-19T08:15:00Z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  <property fmtid="{D5CDD505-2E9C-101B-9397-08002B2CF9AE}" pid="3" name="MediaServiceImageTags">
    <vt:lpwstr/>
  </property>
</Properties>
</file>