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5CA8" w14:textId="1B4F67D1" w:rsidR="0083333A" w:rsidRPr="004F34D9" w:rsidRDefault="0083333A" w:rsidP="00CC61F0">
      <w:pPr>
        <w:spacing w:line="360" w:lineRule="auto"/>
        <w:rPr>
          <w:rFonts w:eastAsia="Times New Roman"/>
          <w:lang w:val="en-US"/>
        </w:rPr>
      </w:pPr>
      <w:r w:rsidRPr="004F34D9">
        <w:rPr>
          <w:b/>
          <w:bCs/>
          <w:u w:val="single"/>
          <w:lang w:val="en-US"/>
        </w:rPr>
        <w:t xml:space="preserve">Tool-free fastening of the cable </w:t>
      </w:r>
      <w:r w:rsidR="00F97B56" w:rsidRPr="004F34D9">
        <w:rPr>
          <w:b/>
          <w:bCs/>
          <w:u w:val="single"/>
          <w:lang w:val="en-US"/>
        </w:rPr>
        <w:t>rout</w:t>
      </w:r>
      <w:r w:rsidR="00EC1448">
        <w:rPr>
          <w:b/>
          <w:bCs/>
          <w:u w:val="single"/>
          <w:lang w:val="en-US"/>
        </w:rPr>
        <w:t>ing</w:t>
      </w:r>
      <w:r w:rsidRPr="004F34D9">
        <w:rPr>
          <w:b/>
          <w:bCs/>
          <w:u w:val="single"/>
          <w:lang w:val="en-US"/>
        </w:rPr>
        <w:t xml:space="preserve"> to the mesh cable tray in new and existing cabling systems</w:t>
      </w:r>
    </w:p>
    <w:p w14:paraId="734F5964" w14:textId="77777777" w:rsidR="0083333A" w:rsidRPr="004F34D9" w:rsidRDefault="0083333A" w:rsidP="0083333A">
      <w:pPr>
        <w:rPr>
          <w:b/>
          <w:bCs/>
          <w:sz w:val="28"/>
          <w:szCs w:val="28"/>
          <w:lang w:val="en-US"/>
        </w:rPr>
      </w:pPr>
      <w:r w:rsidRPr="004F34D9">
        <w:rPr>
          <w:b/>
          <w:bCs/>
          <w:sz w:val="28"/>
          <w:szCs w:val="28"/>
          <w:lang w:val="en-US"/>
        </w:rPr>
        <w:t xml:space="preserve">For professional cable routing: tde cable outlet plates guarantee compliance with bending radii  </w:t>
      </w:r>
    </w:p>
    <w:p w14:paraId="462552A8" w14:textId="0B4B744B" w:rsidR="0083333A" w:rsidRPr="004F34D9" w:rsidRDefault="0083333A" w:rsidP="0083333A">
      <w:pPr>
        <w:spacing w:line="360" w:lineRule="auto"/>
        <w:rPr>
          <w:b/>
          <w:bCs/>
          <w:lang w:val="en-US"/>
        </w:rPr>
      </w:pPr>
      <w:r w:rsidRPr="004F34D9">
        <w:rPr>
          <w:b/>
          <w:bCs/>
          <w:lang w:val="en-US"/>
        </w:rPr>
        <w:t>Dortmund</w:t>
      </w:r>
      <w:r w:rsidR="00131D22">
        <w:rPr>
          <w:b/>
          <w:bCs/>
          <w:lang w:val="en-US"/>
        </w:rPr>
        <w:t xml:space="preserve"> (Germany)</w:t>
      </w:r>
      <w:r w:rsidRPr="004F34D9">
        <w:rPr>
          <w:b/>
          <w:bCs/>
          <w:lang w:val="en-US"/>
        </w:rPr>
        <w:t xml:space="preserve">, </w:t>
      </w:r>
      <w:r w:rsidR="004F4D6A">
        <w:rPr>
          <w:b/>
          <w:bCs/>
          <w:lang w:val="en-US"/>
        </w:rPr>
        <w:t>18</w:t>
      </w:r>
      <w:r w:rsidRPr="004F34D9">
        <w:rPr>
          <w:b/>
          <w:bCs/>
          <w:lang w:val="en-US"/>
        </w:rPr>
        <w:t xml:space="preserve"> May 2022. tde - trans data elektronik GmbH is expanding its tPM patch c</w:t>
      </w:r>
      <w:r w:rsidR="00DA2E5A">
        <w:rPr>
          <w:b/>
          <w:bCs/>
          <w:lang w:val="en-US"/>
        </w:rPr>
        <w:t xml:space="preserve">ord </w:t>
      </w:r>
      <w:r w:rsidRPr="004F34D9">
        <w:rPr>
          <w:b/>
          <w:bCs/>
          <w:lang w:val="en-US"/>
        </w:rPr>
        <w:t xml:space="preserve">management system to include cable outlet plates for mesh cable trays. This enables network technicians to guarantee compliance with bending radii, especially in connection with fibre-optic cables, and to avoid micro- or macrobending of the optical fibres. tde has designed the cable outlet plates to be user-friendly and tool-free and provides customised versions for a wide variety of mesh cable tray manufacturers.   </w:t>
      </w:r>
    </w:p>
    <w:p w14:paraId="20E0BE4A" w14:textId="0A295C3E" w:rsidR="0083333A" w:rsidRPr="004F34D9" w:rsidRDefault="0083333A" w:rsidP="0083333A">
      <w:pPr>
        <w:spacing w:line="360" w:lineRule="auto"/>
        <w:rPr>
          <w:lang w:val="en-US"/>
        </w:rPr>
      </w:pPr>
      <w:r w:rsidRPr="004F34D9">
        <w:rPr>
          <w:lang w:val="en-US"/>
        </w:rPr>
        <w:t xml:space="preserve">Mesh cable trays are the first choice in data centres: they are used to accommodate cables for interconnecting distribution cabinets. In contrast to closed cable ducts, mesh cable trays offer numerous advantages: Due to the air supply, they prevent heat accumulation, and at the same time, the cables can be fed in and out at any point and in any direction due to the open construction. This gives network technicians a view at all times, allows them to carry out new cabling and rewiring more quickly and to rectify faults easily. A cable guide ensures compliance with the bending radii for new and existing cabling: "Particularly in connection with fibre optic cables, it is imperative that network technicians ensure that the bending radii of the </w:t>
      </w:r>
      <w:r w:rsidR="00DA2E5A">
        <w:rPr>
          <w:lang w:val="en-US"/>
        </w:rPr>
        <w:t xml:space="preserve">optical </w:t>
      </w:r>
      <w:r w:rsidRPr="004F34D9">
        <w:rPr>
          <w:lang w:val="en-US"/>
        </w:rPr>
        <w:t xml:space="preserve">fibres are not undercut and thus not subjected to excessive transverse pressure. The result can be micro- and macrobending of the fibres," explains André Engel, Managing Director of tde. This is a stressing of the fibres due to pressure, which can be caused by transverse pressure or tension. Engel continues: "The result can be a massive increase in attenuation. If this concerns multimode fibres, higher transmission rates of 10 Gbit and above are accompanied by very small attenuation budgets, so that data transmission may no longer be possible at all. With our new cable outlet plate for mesh cable trays, this </w:t>
      </w:r>
      <w:r w:rsidR="00F97B56" w:rsidRPr="004F34D9">
        <w:rPr>
          <w:lang w:val="en-US"/>
        </w:rPr>
        <w:t>will not</w:t>
      </w:r>
      <w:r w:rsidRPr="004F34D9">
        <w:rPr>
          <w:lang w:val="en-US"/>
        </w:rPr>
        <w:t xml:space="preserve"> happen."</w:t>
      </w:r>
    </w:p>
    <w:p w14:paraId="68F0ECC1" w14:textId="77777777" w:rsidR="0083333A" w:rsidRPr="004F34D9" w:rsidRDefault="0083333A" w:rsidP="0083333A">
      <w:pPr>
        <w:rPr>
          <w:i/>
          <w:iCs/>
          <w:lang w:val="en-US"/>
        </w:rPr>
      </w:pPr>
      <w:r w:rsidRPr="004F34D9">
        <w:rPr>
          <w:i/>
          <w:iCs/>
          <w:lang w:val="en-US"/>
        </w:rPr>
        <w:t>Easy handling and customised designs</w:t>
      </w:r>
    </w:p>
    <w:p w14:paraId="7DB79A13" w14:textId="77777777" w:rsidR="0083333A" w:rsidRPr="004F34D9" w:rsidRDefault="0083333A" w:rsidP="0083333A">
      <w:pPr>
        <w:spacing w:line="360" w:lineRule="auto"/>
        <w:rPr>
          <w:lang w:val="en-US"/>
        </w:rPr>
      </w:pPr>
      <w:r w:rsidRPr="004F34D9">
        <w:rPr>
          <w:lang w:val="en-US"/>
        </w:rPr>
        <w:t xml:space="preserve">tde has designed the cable outlet plates for quick and user-friendly installation: they can be attached to the mesh cable tray without tools. Network technicians can attach them effortlessly even if cables have already been laid: After hooking them in and then snapping them into place, they can be used immediately. The cables routed over the mesh cable trays can be attached to the cable outlet plate with Velcro strips. </w:t>
      </w:r>
    </w:p>
    <w:p w14:paraId="079ED5AC" w14:textId="0A8F4801" w:rsidR="0083333A" w:rsidRPr="004F34D9" w:rsidRDefault="0083333A" w:rsidP="0083333A">
      <w:pPr>
        <w:spacing w:line="360" w:lineRule="auto"/>
        <w:rPr>
          <w:lang w:val="en-US"/>
        </w:rPr>
      </w:pPr>
      <w:r w:rsidRPr="004F34D9">
        <w:rPr>
          <w:lang w:val="en-US"/>
        </w:rPr>
        <w:lastRenderedPageBreak/>
        <w:t>In order to meet the customer-specific requirements of the numerous mesh cable tray manufacturers, tde provides cable guide plates in various designs. The network expert takes the different material thicknesses and distances of the struts</w:t>
      </w:r>
      <w:r w:rsidR="00497BE7" w:rsidRPr="004F34D9">
        <w:rPr>
          <w:lang w:val="en-US"/>
        </w:rPr>
        <w:t xml:space="preserve"> into account</w:t>
      </w:r>
      <w:r w:rsidRPr="004F34D9">
        <w:rPr>
          <w:lang w:val="en-US"/>
        </w:rPr>
        <w:t xml:space="preserve"> as well as the specific bending radii and outer diameters of the cables. </w:t>
      </w:r>
    </w:p>
    <w:p w14:paraId="7377EA3E" w14:textId="565C5361" w:rsidR="0083333A" w:rsidRPr="004F34D9" w:rsidRDefault="0083333A" w:rsidP="0083333A">
      <w:pPr>
        <w:spacing w:line="360" w:lineRule="auto"/>
        <w:rPr>
          <w:lang w:val="en-US"/>
        </w:rPr>
      </w:pPr>
      <w:r w:rsidRPr="004F34D9">
        <w:rPr>
          <w:lang w:val="en-US"/>
        </w:rPr>
        <w:t>The tde cable outlet plates complement the tPM patch c</w:t>
      </w:r>
      <w:r w:rsidR="00DA2E5A">
        <w:rPr>
          <w:lang w:val="en-US"/>
        </w:rPr>
        <w:t xml:space="preserve">ord </w:t>
      </w:r>
      <w:r w:rsidRPr="004F34D9">
        <w:rPr>
          <w:lang w:val="en-US"/>
        </w:rPr>
        <w:t xml:space="preserve">management system from tde for professional cable routing. </w:t>
      </w:r>
    </w:p>
    <w:p w14:paraId="5A6246A8" w14:textId="33DE835F" w:rsidR="0083333A" w:rsidRDefault="0083333A" w:rsidP="0083333A">
      <w:pPr>
        <w:spacing w:line="360" w:lineRule="auto"/>
        <w:rPr>
          <w:lang w:val="en-US"/>
        </w:rPr>
      </w:pPr>
      <w:r w:rsidRPr="004F34D9">
        <w:rPr>
          <w:lang w:val="en-US"/>
        </w:rPr>
        <w:t xml:space="preserve">Further information at: </w:t>
      </w:r>
      <w:hyperlink r:id="rId11" w:history="1">
        <w:r w:rsidR="00DA2E5A" w:rsidRPr="00B1241F">
          <w:rPr>
            <w:rStyle w:val="Hyperlink"/>
            <w:rFonts w:cstheme="minorBidi"/>
            <w:lang w:val="en-US"/>
          </w:rPr>
          <w:t>https://mdb.tde.de/download.php?datei_id=9526&amp;inline</w:t>
        </w:r>
      </w:hyperlink>
    </w:p>
    <w:p w14:paraId="1D738DA8" w14:textId="0D7B3B5B" w:rsidR="00DA2E5A" w:rsidRDefault="00DA2E5A" w:rsidP="00DA2E5A">
      <w:pPr>
        <w:spacing w:line="276" w:lineRule="auto"/>
        <w:rPr>
          <w:lang w:val="en-GB"/>
        </w:rPr>
      </w:pPr>
      <w:r>
        <w:rPr>
          <w:b/>
          <w:bCs/>
          <w:sz w:val="18"/>
          <w:szCs w:val="18"/>
          <w:lang w:val="en-GB"/>
        </w:rPr>
        <w:t xml:space="preserve">About tde – trans data elektronik GmbH </w:t>
      </w:r>
      <w:r>
        <w:rPr>
          <w:b/>
          <w:bCs/>
          <w:sz w:val="18"/>
          <w:szCs w:val="18"/>
          <w:lang w:val="en-GB"/>
        </w:rPr>
        <w:br/>
      </w:r>
      <w:r>
        <w:rPr>
          <w:sz w:val="18"/>
          <w:szCs w:val="18"/>
          <w:lang w:val="en-GB"/>
        </w:rPr>
        <w:t xml:space="preserve">For more than 30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12" w:history="1">
        <w:r w:rsidRPr="009E7355">
          <w:rPr>
            <w:rStyle w:val="Hyperlink"/>
            <w:rFonts w:cstheme="minorBidi"/>
            <w:sz w:val="18"/>
            <w:szCs w:val="18"/>
            <w:lang w:val="en-GB"/>
          </w:rPr>
          <w:t>www.tde.de/en/</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3" w:history="1">
        <w:r w:rsidRPr="0088496C">
          <w:rPr>
            <w:rStyle w:val="Hyperlink"/>
            <w:rFonts w:cs="Calibri"/>
            <w:sz w:val="18"/>
            <w:szCs w:val="16"/>
            <w:lang w:val="en-US"/>
          </w:rPr>
          <w:t>LinkedIn</w:t>
        </w:r>
      </w:hyperlink>
      <w:r w:rsidRPr="0088496C">
        <w:rPr>
          <w:sz w:val="18"/>
          <w:szCs w:val="16"/>
          <w:lang w:val="en-US"/>
        </w:rPr>
        <w:t xml:space="preserve">, </w:t>
      </w:r>
      <w:hyperlink r:id="rId14" w:history="1">
        <w:r w:rsidRPr="0088496C">
          <w:rPr>
            <w:rStyle w:val="Hyperlink"/>
            <w:rFonts w:cs="Calibri"/>
            <w:sz w:val="18"/>
            <w:szCs w:val="16"/>
            <w:lang w:val="en-US"/>
          </w:rPr>
          <w:t>Twitter</w:t>
        </w:r>
      </w:hyperlink>
      <w:r w:rsidRPr="0088496C">
        <w:rPr>
          <w:sz w:val="18"/>
          <w:szCs w:val="16"/>
          <w:lang w:val="en-US"/>
        </w:rPr>
        <w:t xml:space="preserve"> </w:t>
      </w:r>
      <w:r>
        <w:rPr>
          <w:sz w:val="18"/>
          <w:szCs w:val="16"/>
          <w:lang w:val="en-US"/>
        </w:rPr>
        <w:t>a</w:t>
      </w:r>
      <w:r w:rsidRPr="0088496C">
        <w:rPr>
          <w:sz w:val="18"/>
          <w:szCs w:val="16"/>
          <w:lang w:val="en-US"/>
        </w:rPr>
        <w:t xml:space="preserve">nd </w:t>
      </w:r>
      <w:hyperlink r:id="rId15" w:history="1">
        <w:r w:rsidRPr="0088496C">
          <w:rPr>
            <w:rStyle w:val="Hyperlink"/>
            <w:rFonts w:cs="Calibri"/>
            <w:sz w:val="18"/>
            <w:szCs w:val="16"/>
            <w:lang w:val="en-US"/>
          </w:rPr>
          <w:t>Xing</w:t>
        </w:r>
      </w:hyperlink>
      <w:r w:rsidRPr="0088496C">
        <w:rPr>
          <w:rStyle w:val="Hyperlink"/>
          <w:rFonts w:cs="Calibri"/>
          <w:sz w:val="18"/>
          <w:szCs w:val="16"/>
          <w:lang w:val="en-US"/>
        </w:rPr>
        <w:t>.</w:t>
      </w:r>
    </w:p>
    <w:p w14:paraId="49684411" w14:textId="77777777" w:rsidR="0083333A" w:rsidRPr="00DA2E5A" w:rsidRDefault="0083333A" w:rsidP="0083333A">
      <w:pPr>
        <w:rPr>
          <w:sz w:val="18"/>
          <w:szCs w:val="18"/>
          <w:lang w:val="en-GB"/>
        </w:rPr>
      </w:pPr>
    </w:p>
    <w:p w14:paraId="6243B7A6" w14:textId="77777777" w:rsidR="00DA2E5A" w:rsidRDefault="00DA2E5A" w:rsidP="00DA2E5A">
      <w:pPr>
        <w:rPr>
          <w:rStyle w:val="Hyperlink"/>
          <w:rFonts w:cs="Calibri"/>
        </w:rPr>
      </w:pPr>
      <w:r w:rsidRPr="00302ED9">
        <w:rPr>
          <w:b/>
          <w:bCs/>
          <w:sz w:val="18"/>
          <w:szCs w:val="18"/>
        </w:rPr>
        <w:t xml:space="preserve">Customer contact: </w:t>
      </w:r>
      <w:r w:rsidRPr="00302ED9">
        <w:rPr>
          <w:b/>
          <w:bCs/>
          <w:sz w:val="18"/>
          <w:szCs w:val="18"/>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6" w:history="1">
        <w:r>
          <w:rPr>
            <w:rStyle w:val="Hyperlink"/>
            <w:rFonts w:cs="Calibri"/>
            <w:sz w:val="18"/>
          </w:rPr>
          <w:t>info@tde.de</w:t>
        </w:r>
      </w:hyperlink>
      <w:r>
        <w:rPr>
          <w:sz w:val="18"/>
          <w:szCs w:val="16"/>
        </w:rPr>
        <w:t xml:space="preserve">, </w:t>
      </w:r>
      <w:hyperlink r:id="rId17" w:history="1">
        <w:r>
          <w:rPr>
            <w:rStyle w:val="Hyperlink"/>
            <w:rFonts w:cs="Calibri"/>
            <w:sz w:val="18"/>
          </w:rPr>
          <w:t>www.tde.de</w:t>
        </w:r>
      </w:hyperlink>
    </w:p>
    <w:p w14:paraId="5AE934EB" w14:textId="77777777" w:rsidR="00DA2E5A" w:rsidRPr="0076140B" w:rsidRDefault="00DA2E5A" w:rsidP="00DA2E5A">
      <w:pPr>
        <w:spacing w:after="0"/>
        <w:jc w:val="both"/>
        <w:rPr>
          <w:b/>
          <w:bCs/>
          <w:sz w:val="18"/>
          <w:szCs w:val="18"/>
        </w:rPr>
      </w:pPr>
      <w:r w:rsidRPr="0076140B">
        <w:rPr>
          <w:b/>
          <w:bCs/>
          <w:sz w:val="18"/>
          <w:szCs w:val="18"/>
        </w:rPr>
        <w:t>Press contact:</w:t>
      </w:r>
    </w:p>
    <w:p w14:paraId="3F9FFE80" w14:textId="77E16B06" w:rsidR="00DA2E5A" w:rsidRPr="0076140B" w:rsidRDefault="00DA2E5A" w:rsidP="00DA2E5A">
      <w:pPr>
        <w:spacing w:after="0"/>
        <w:jc w:val="both"/>
      </w:pPr>
      <w:r w:rsidRPr="0076140B">
        <w:rPr>
          <w:sz w:val="18"/>
          <w:szCs w:val="16"/>
        </w:rPr>
        <w:t>EPR Advisors, Maximilianstraße 50, D - 86150 Augsburg</w:t>
      </w:r>
    </w:p>
    <w:p w14:paraId="77F35A40" w14:textId="77777777" w:rsidR="00DA2E5A" w:rsidRDefault="00DA2E5A" w:rsidP="00DA2E5A">
      <w:pPr>
        <w:spacing w:after="0"/>
        <w:jc w:val="both"/>
      </w:pPr>
      <w:r>
        <w:rPr>
          <w:sz w:val="18"/>
          <w:szCs w:val="16"/>
        </w:rPr>
        <w:t xml:space="preserve">Frauke Schütz, Tel: +49 821 4508 7916, </w:t>
      </w:r>
      <w:hyperlink r:id="rId18" w:history="1">
        <w:r>
          <w:rPr>
            <w:rStyle w:val="Hyperlink"/>
            <w:rFonts w:cs="Calibri"/>
            <w:sz w:val="18"/>
          </w:rPr>
          <w:t>fs@epr-online.de</w:t>
        </w:r>
      </w:hyperlink>
    </w:p>
    <w:p w14:paraId="4DDA3CB7" w14:textId="77777777" w:rsidR="00DA2E5A" w:rsidRPr="0076140B" w:rsidRDefault="00DA2E5A" w:rsidP="00DA2E5A">
      <w:pPr>
        <w:spacing w:after="0"/>
        <w:jc w:val="both"/>
        <w:rPr>
          <w:sz w:val="18"/>
        </w:rPr>
      </w:pPr>
      <w:r w:rsidRPr="0076140B">
        <w:rPr>
          <w:sz w:val="18"/>
          <w:szCs w:val="16"/>
        </w:rPr>
        <w:t>Elke Thiergärtner, Tel: +49 821 4508 7912,</w:t>
      </w:r>
      <w:r w:rsidRPr="0076140B">
        <w:rPr>
          <w:b/>
          <w:sz w:val="18"/>
          <w:szCs w:val="16"/>
        </w:rPr>
        <w:t xml:space="preserve"> </w:t>
      </w:r>
      <w:r w:rsidRPr="0076140B">
        <w:rPr>
          <w:rStyle w:val="Hyperlink"/>
          <w:rFonts w:cs="Calibri"/>
          <w:sz w:val="18"/>
        </w:rPr>
        <w:t>et@epr-online.de</w:t>
      </w:r>
    </w:p>
    <w:p w14:paraId="48580EDF" w14:textId="77777777" w:rsidR="00DA2E5A" w:rsidRPr="00E843AA" w:rsidRDefault="000D1532" w:rsidP="00DA2E5A">
      <w:pPr>
        <w:spacing w:after="0"/>
        <w:jc w:val="both"/>
        <w:rPr>
          <w:rFonts w:cs="Verdana"/>
          <w:sz w:val="18"/>
          <w:szCs w:val="16"/>
        </w:rPr>
      </w:pPr>
      <w:hyperlink r:id="rId19" w:history="1">
        <w:r w:rsidR="00DA2E5A" w:rsidRPr="009663BF">
          <w:rPr>
            <w:rStyle w:val="Hyperlink"/>
            <w:rFonts w:cs="Calibri"/>
            <w:sz w:val="18"/>
          </w:rPr>
          <w:t>www.epr-online.de</w:t>
        </w:r>
      </w:hyperlink>
      <w:r w:rsidR="00DA2E5A" w:rsidRPr="00E843AA">
        <w:rPr>
          <w:rFonts w:cs="Verdana"/>
          <w:sz w:val="18"/>
          <w:szCs w:val="16"/>
        </w:rPr>
        <w:t xml:space="preserve"> </w:t>
      </w:r>
    </w:p>
    <w:p w14:paraId="466FC4A7" w14:textId="244ABD0F" w:rsidR="0083333A" w:rsidRPr="0076140B" w:rsidRDefault="0083333A" w:rsidP="00DA2E5A">
      <w:pPr>
        <w:rPr>
          <w:sz w:val="18"/>
          <w:szCs w:val="18"/>
        </w:rPr>
      </w:pPr>
    </w:p>
    <w:sectPr w:rsidR="0083333A" w:rsidRPr="0076140B">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86F9" w14:textId="77777777" w:rsidR="00700F7B" w:rsidRDefault="00700F7B" w:rsidP="00D13A2E">
      <w:pPr>
        <w:spacing w:after="0" w:line="240" w:lineRule="auto"/>
      </w:pPr>
      <w:r>
        <w:separator/>
      </w:r>
    </w:p>
  </w:endnote>
  <w:endnote w:type="continuationSeparator" w:id="0">
    <w:p w14:paraId="05B00DCE" w14:textId="77777777" w:rsidR="00700F7B" w:rsidRDefault="00700F7B" w:rsidP="00D13A2E">
      <w:pPr>
        <w:spacing w:after="0" w:line="240" w:lineRule="auto"/>
      </w:pPr>
      <w:r>
        <w:continuationSeparator/>
      </w:r>
    </w:p>
  </w:endnote>
  <w:endnote w:type="continuationNotice" w:id="1">
    <w:p w14:paraId="353A8ACE" w14:textId="77777777" w:rsidR="000D1532" w:rsidRDefault="000D1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32EE" w14:textId="77777777" w:rsidR="00700F7B" w:rsidRDefault="00700F7B" w:rsidP="00D13A2E">
      <w:pPr>
        <w:spacing w:after="0" w:line="240" w:lineRule="auto"/>
      </w:pPr>
      <w:r>
        <w:separator/>
      </w:r>
    </w:p>
  </w:footnote>
  <w:footnote w:type="continuationSeparator" w:id="0">
    <w:p w14:paraId="49B9BD19" w14:textId="77777777" w:rsidR="00700F7B" w:rsidRDefault="00700F7B" w:rsidP="00D13A2E">
      <w:pPr>
        <w:spacing w:after="0" w:line="240" w:lineRule="auto"/>
      </w:pPr>
      <w:r>
        <w:continuationSeparator/>
      </w:r>
    </w:p>
  </w:footnote>
  <w:footnote w:type="continuationNotice" w:id="1">
    <w:p w14:paraId="5822BCEA" w14:textId="77777777" w:rsidR="000D1532" w:rsidRDefault="000D1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6666" w14:textId="73C93214" w:rsidR="00D13A2E" w:rsidRDefault="00D13A2E" w:rsidP="00D13A2E">
    <w:pPr>
      <w:pStyle w:val="Kopfzeile"/>
      <w:jc w:val="right"/>
      <w:rPr>
        <w:rFonts w:ascii="Verdana" w:hAnsi="Verdana" w:cs="Verdana"/>
        <w:color w:val="808080"/>
        <w:sz w:val="20"/>
        <w:szCs w:val="20"/>
      </w:rPr>
    </w:pPr>
    <w:r>
      <w:rPr>
        <w:noProof/>
      </w:rPr>
      <w:drawing>
        <wp:anchor distT="0" distB="0" distL="114300" distR="114300" simplePos="0" relativeHeight="251658240" behindDoc="1" locked="0" layoutInCell="1" allowOverlap="1" wp14:anchorId="11EF460C" wp14:editId="5660BB8D">
          <wp:simplePos x="0" y="0"/>
          <wp:positionH relativeFrom="column">
            <wp:posOffset>4610100</wp:posOffset>
          </wp:positionH>
          <wp:positionV relativeFrom="paragraph">
            <wp:posOffset>8890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09E3E" w14:textId="1669CC24" w:rsidR="00D13A2E" w:rsidRDefault="00D13A2E" w:rsidP="00D13A2E">
    <w:pPr>
      <w:pStyle w:val="Kopfzeile"/>
      <w:jc w:val="right"/>
      <w:rPr>
        <w:rFonts w:ascii="Verdana" w:hAnsi="Verdana" w:cs="Verdana"/>
        <w:color w:val="808080"/>
        <w:sz w:val="20"/>
        <w:szCs w:val="20"/>
      </w:rPr>
    </w:pPr>
  </w:p>
  <w:p w14:paraId="4222E6CC" w14:textId="1CC95518" w:rsidR="00D13A2E" w:rsidRDefault="00D13A2E" w:rsidP="00D13A2E">
    <w:pPr>
      <w:pStyle w:val="Kopfzeile"/>
      <w:jc w:val="right"/>
      <w:rPr>
        <w:rFonts w:ascii="Verdana" w:hAnsi="Verdana" w:cs="Verdana"/>
        <w:color w:val="808080"/>
        <w:sz w:val="20"/>
        <w:szCs w:val="20"/>
      </w:rPr>
    </w:pPr>
  </w:p>
  <w:p w14:paraId="38AE7E33" w14:textId="1A79D2BB" w:rsidR="00D13A2E" w:rsidRDefault="00D13A2E" w:rsidP="00D13A2E">
    <w:pPr>
      <w:pStyle w:val="Kopfzeile"/>
      <w:jc w:val="right"/>
      <w:rPr>
        <w:rFonts w:ascii="Verdana" w:hAnsi="Verdana" w:cs="Verdana"/>
        <w:color w:val="808080"/>
        <w:sz w:val="20"/>
        <w:szCs w:val="20"/>
      </w:rPr>
    </w:pPr>
  </w:p>
  <w:p w14:paraId="4EE662BF" w14:textId="77777777" w:rsidR="00D13A2E" w:rsidRDefault="00D13A2E" w:rsidP="00D13A2E">
    <w:pPr>
      <w:pStyle w:val="Kopfzeile"/>
      <w:jc w:val="right"/>
      <w:rPr>
        <w:rFonts w:ascii="Verdana" w:hAnsi="Verdana" w:cs="Verdana"/>
        <w:color w:val="808080"/>
        <w:sz w:val="20"/>
        <w:szCs w:val="20"/>
      </w:rPr>
    </w:pPr>
  </w:p>
  <w:p w14:paraId="4A33B467" w14:textId="77777777" w:rsidR="00D13A2E" w:rsidRDefault="00D13A2E" w:rsidP="00D13A2E">
    <w:pPr>
      <w:pStyle w:val="Kopfzeile"/>
      <w:jc w:val="right"/>
      <w:rPr>
        <w:rFonts w:ascii="Verdana" w:hAnsi="Verdana" w:cs="Verdana"/>
        <w:color w:val="808080"/>
        <w:sz w:val="20"/>
        <w:szCs w:val="20"/>
      </w:rPr>
    </w:pPr>
  </w:p>
  <w:p w14:paraId="6662BCBC" w14:textId="72F47D81" w:rsidR="00D13A2E" w:rsidRDefault="00D13A2E" w:rsidP="00D13A2E">
    <w:pPr>
      <w:pStyle w:val="Kopfzeile"/>
      <w:jc w:val="right"/>
    </w:pPr>
    <w:r>
      <w:rPr>
        <w:rFonts w:ascii="Verdana" w:hAnsi="Verdana" w:cs="Verdana"/>
        <w:color w:val="808080"/>
        <w:sz w:val="20"/>
        <w:szCs w:val="20"/>
      </w:rPr>
      <w:tab/>
    </w:r>
    <w:r>
      <w:rPr>
        <w:rFonts w:ascii="Verdana" w:hAnsi="Verdana" w:cs="Verdana"/>
        <w:color w:val="808080"/>
        <w:sz w:val="20"/>
        <w:szCs w:val="20"/>
      </w:rPr>
      <w:tab/>
    </w:r>
    <w:r w:rsidRPr="00DE7D51">
      <w:rPr>
        <w:rFonts w:ascii="Verdana" w:hAnsi="Verdana" w:cs="Verdana"/>
        <w:color w:val="808080"/>
        <w:sz w:val="20"/>
        <w:szCs w:val="20"/>
      </w:rPr>
      <w:t>Press</w:t>
    </w:r>
    <w:r w:rsidR="00CC61F0">
      <w:rPr>
        <w:rFonts w:ascii="Verdana" w:hAnsi="Verdana" w:cs="Verdana"/>
        <w:color w:val="808080"/>
        <w:sz w:val="20"/>
        <w:szCs w:val="20"/>
      </w:rPr>
      <w:t xml:space="preserve"> release</w:t>
    </w:r>
  </w:p>
  <w:p w14:paraId="0B30A466" w14:textId="77777777" w:rsidR="00D13A2E" w:rsidRDefault="00D13A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C"/>
    <w:rsid w:val="000017EB"/>
    <w:rsid w:val="00001857"/>
    <w:rsid w:val="00014614"/>
    <w:rsid w:val="00020E7C"/>
    <w:rsid w:val="000237AB"/>
    <w:rsid w:val="00040EB5"/>
    <w:rsid w:val="00054689"/>
    <w:rsid w:val="00055DA3"/>
    <w:rsid w:val="00060E79"/>
    <w:rsid w:val="00067FBC"/>
    <w:rsid w:val="0009674E"/>
    <w:rsid w:val="000C100A"/>
    <w:rsid w:val="000D1532"/>
    <w:rsid w:val="000D2F0E"/>
    <w:rsid w:val="000F190A"/>
    <w:rsid w:val="000F427D"/>
    <w:rsid w:val="00112538"/>
    <w:rsid w:val="0011350F"/>
    <w:rsid w:val="00131D22"/>
    <w:rsid w:val="00145811"/>
    <w:rsid w:val="00150D4F"/>
    <w:rsid w:val="00152721"/>
    <w:rsid w:val="00171D75"/>
    <w:rsid w:val="0019485A"/>
    <w:rsid w:val="001C5119"/>
    <w:rsid w:val="00207386"/>
    <w:rsid w:val="0021522B"/>
    <w:rsid w:val="00236459"/>
    <w:rsid w:val="002421A4"/>
    <w:rsid w:val="002D1C4F"/>
    <w:rsid w:val="002F48FF"/>
    <w:rsid w:val="003006BF"/>
    <w:rsid w:val="003459D0"/>
    <w:rsid w:val="003469C5"/>
    <w:rsid w:val="00365459"/>
    <w:rsid w:val="0037740E"/>
    <w:rsid w:val="00394F17"/>
    <w:rsid w:val="003A0BCD"/>
    <w:rsid w:val="003C58B0"/>
    <w:rsid w:val="003E77BA"/>
    <w:rsid w:val="003F2BEA"/>
    <w:rsid w:val="00422467"/>
    <w:rsid w:val="004959CB"/>
    <w:rsid w:val="00497BE7"/>
    <w:rsid w:val="004B1F6B"/>
    <w:rsid w:val="004D6439"/>
    <w:rsid w:val="004F34D9"/>
    <w:rsid w:val="004F4D6A"/>
    <w:rsid w:val="00502A2C"/>
    <w:rsid w:val="00527339"/>
    <w:rsid w:val="0053286B"/>
    <w:rsid w:val="00533958"/>
    <w:rsid w:val="005477C3"/>
    <w:rsid w:val="005C729E"/>
    <w:rsid w:val="00615D7A"/>
    <w:rsid w:val="00671FAC"/>
    <w:rsid w:val="00677B24"/>
    <w:rsid w:val="006816DE"/>
    <w:rsid w:val="00697392"/>
    <w:rsid w:val="006A2ADE"/>
    <w:rsid w:val="006F7238"/>
    <w:rsid w:val="0070013D"/>
    <w:rsid w:val="00700F7B"/>
    <w:rsid w:val="00740230"/>
    <w:rsid w:val="0076140B"/>
    <w:rsid w:val="00782D42"/>
    <w:rsid w:val="00784FBD"/>
    <w:rsid w:val="00796181"/>
    <w:rsid w:val="007A4BBC"/>
    <w:rsid w:val="007C37ED"/>
    <w:rsid w:val="007D3840"/>
    <w:rsid w:val="007E5C9B"/>
    <w:rsid w:val="00805C8F"/>
    <w:rsid w:val="0083333A"/>
    <w:rsid w:val="00871CC6"/>
    <w:rsid w:val="00884FDC"/>
    <w:rsid w:val="00894FA9"/>
    <w:rsid w:val="008B0EAE"/>
    <w:rsid w:val="008C6BE8"/>
    <w:rsid w:val="008D038C"/>
    <w:rsid w:val="009019DF"/>
    <w:rsid w:val="009246C1"/>
    <w:rsid w:val="0095009E"/>
    <w:rsid w:val="00951736"/>
    <w:rsid w:val="009570D6"/>
    <w:rsid w:val="00960931"/>
    <w:rsid w:val="00977BC7"/>
    <w:rsid w:val="009A6F4A"/>
    <w:rsid w:val="009B7E6B"/>
    <w:rsid w:val="009C7E05"/>
    <w:rsid w:val="009D4180"/>
    <w:rsid w:val="009E443A"/>
    <w:rsid w:val="009E4A37"/>
    <w:rsid w:val="00A13E2F"/>
    <w:rsid w:val="00A17BC2"/>
    <w:rsid w:val="00A33717"/>
    <w:rsid w:val="00A4563B"/>
    <w:rsid w:val="00AC0213"/>
    <w:rsid w:val="00B31BF0"/>
    <w:rsid w:val="00B57D84"/>
    <w:rsid w:val="00B62829"/>
    <w:rsid w:val="00B8731B"/>
    <w:rsid w:val="00C156BB"/>
    <w:rsid w:val="00C240A5"/>
    <w:rsid w:val="00C86110"/>
    <w:rsid w:val="00CC61F0"/>
    <w:rsid w:val="00CD7B68"/>
    <w:rsid w:val="00CE4AAD"/>
    <w:rsid w:val="00D13A2E"/>
    <w:rsid w:val="00D3659E"/>
    <w:rsid w:val="00D5106E"/>
    <w:rsid w:val="00D53480"/>
    <w:rsid w:val="00D77E6C"/>
    <w:rsid w:val="00DA2E5A"/>
    <w:rsid w:val="00DE375E"/>
    <w:rsid w:val="00DE4FAB"/>
    <w:rsid w:val="00DE7D93"/>
    <w:rsid w:val="00E01739"/>
    <w:rsid w:val="00E055E2"/>
    <w:rsid w:val="00E132C6"/>
    <w:rsid w:val="00E6023B"/>
    <w:rsid w:val="00E80A29"/>
    <w:rsid w:val="00E81285"/>
    <w:rsid w:val="00E91AC0"/>
    <w:rsid w:val="00EC1448"/>
    <w:rsid w:val="00ED6B98"/>
    <w:rsid w:val="00F00BF3"/>
    <w:rsid w:val="00F13A8F"/>
    <w:rsid w:val="00F742A3"/>
    <w:rsid w:val="00F97B56"/>
    <w:rsid w:val="00FD6F05"/>
    <w:rsid w:val="3B8AFB86"/>
    <w:rsid w:val="5E167EED"/>
    <w:rsid w:val="618AC56C"/>
    <w:rsid w:val="64B02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57E8"/>
  <w15:chartTrackingRefBased/>
  <w15:docId w15:val="{91F625A3-4998-4684-8482-343D6D9E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156BB"/>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84FDC"/>
    <w:rPr>
      <w:sz w:val="16"/>
      <w:szCs w:val="16"/>
    </w:rPr>
  </w:style>
  <w:style w:type="paragraph" w:styleId="Kommentartext">
    <w:name w:val="annotation text"/>
    <w:basedOn w:val="Standard"/>
    <w:link w:val="KommentartextZchn"/>
    <w:uiPriority w:val="99"/>
    <w:semiHidden/>
    <w:unhideWhenUsed/>
    <w:rsid w:val="00884F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FDC"/>
    <w:rPr>
      <w:sz w:val="20"/>
      <w:szCs w:val="20"/>
    </w:rPr>
  </w:style>
  <w:style w:type="paragraph" w:styleId="Kommentarthema">
    <w:name w:val="annotation subject"/>
    <w:basedOn w:val="Kommentartext"/>
    <w:next w:val="Kommentartext"/>
    <w:link w:val="KommentarthemaZchn"/>
    <w:uiPriority w:val="99"/>
    <w:semiHidden/>
    <w:unhideWhenUsed/>
    <w:rsid w:val="00884FDC"/>
    <w:rPr>
      <w:b/>
      <w:bCs/>
    </w:rPr>
  </w:style>
  <w:style w:type="character" w:customStyle="1" w:styleId="KommentarthemaZchn">
    <w:name w:val="Kommentarthema Zchn"/>
    <w:basedOn w:val="KommentartextZchn"/>
    <w:link w:val="Kommentarthema"/>
    <w:uiPriority w:val="99"/>
    <w:semiHidden/>
    <w:rsid w:val="00884FDC"/>
    <w:rPr>
      <w:b/>
      <w:bCs/>
      <w:sz w:val="20"/>
      <w:szCs w:val="20"/>
    </w:rPr>
  </w:style>
  <w:style w:type="character" w:customStyle="1" w:styleId="berschrift6Zchn">
    <w:name w:val="Überschrift 6 Zchn"/>
    <w:basedOn w:val="Absatz-Standardschriftart"/>
    <w:link w:val="berschrift6"/>
    <w:uiPriority w:val="9"/>
    <w:rsid w:val="00C156BB"/>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0018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13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A2E"/>
  </w:style>
  <w:style w:type="paragraph" w:styleId="Fuzeile">
    <w:name w:val="footer"/>
    <w:basedOn w:val="Standard"/>
    <w:link w:val="FuzeileZchn"/>
    <w:uiPriority w:val="99"/>
    <w:unhideWhenUsed/>
    <w:rsid w:val="00D13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A2E"/>
  </w:style>
  <w:style w:type="character" w:styleId="Hyperlink">
    <w:name w:val="Hyperlink"/>
    <w:basedOn w:val="Absatz-Standardschriftart"/>
    <w:uiPriority w:val="99"/>
    <w:unhideWhenUsed/>
    <w:rsid w:val="00D13A2E"/>
    <w:rPr>
      <w:rFonts w:cs="Times New Roman"/>
      <w:color w:val="0563C1" w:themeColor="hyperlink"/>
      <w:u w:val="single"/>
    </w:rPr>
  </w:style>
  <w:style w:type="paragraph" w:styleId="berarbeitung">
    <w:name w:val="Revision"/>
    <w:hidden/>
    <w:uiPriority w:val="99"/>
    <w:semiHidden/>
    <w:rsid w:val="00740230"/>
    <w:pPr>
      <w:spacing w:after="0" w:line="240" w:lineRule="auto"/>
    </w:pPr>
  </w:style>
  <w:style w:type="character" w:styleId="NichtaufgelsteErwhnung">
    <w:name w:val="Unresolved Mention"/>
    <w:basedOn w:val="Absatz-Standardschriftart"/>
    <w:uiPriority w:val="99"/>
    <w:semiHidden/>
    <w:unhideWhenUsed/>
    <w:rsid w:val="009D4180"/>
    <w:rPr>
      <w:color w:val="605E5C"/>
      <w:shd w:val="clear" w:color="auto" w:fill="E1DFDD"/>
    </w:rPr>
  </w:style>
  <w:style w:type="character" w:styleId="BesuchterLink">
    <w:name w:val="FollowedHyperlink"/>
    <w:basedOn w:val="Absatz-Standardschriftart"/>
    <w:uiPriority w:val="99"/>
    <w:semiHidden/>
    <w:unhideWhenUsed/>
    <w:rsid w:val="00A13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4079">
      <w:bodyDiv w:val="1"/>
      <w:marLeft w:val="0"/>
      <w:marRight w:val="0"/>
      <w:marTop w:val="0"/>
      <w:marBottom w:val="0"/>
      <w:divBdr>
        <w:top w:val="none" w:sz="0" w:space="0" w:color="auto"/>
        <w:left w:val="none" w:sz="0" w:space="0" w:color="auto"/>
        <w:bottom w:val="none" w:sz="0" w:space="0" w:color="auto"/>
        <w:right w:val="none" w:sz="0" w:space="0" w:color="auto"/>
      </w:divBdr>
    </w:div>
    <w:div w:id="6532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de-trans-data-elektronik-gmbh/" TargetMode="External"/><Relationship Id="rId18" Type="http://schemas.openxmlformats.org/officeDocument/2006/relationships/hyperlink" Target="mailto:fs@epr-online.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de.de/en/" TargetMode="External"/><Relationship Id="rId17" Type="http://schemas.openxmlformats.org/officeDocument/2006/relationships/hyperlink" Target="http://www.tde.de/" TargetMode="External"/><Relationship Id="rId2" Type="http://schemas.openxmlformats.org/officeDocument/2006/relationships/customXml" Target="../customXml/item2.xml"/><Relationship Id="rId16" Type="http://schemas.openxmlformats.org/officeDocument/2006/relationships/hyperlink" Target="mailto:info@td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b.tde.de/download.php?datei_id=9526&amp;inline" TargetMode="External"/><Relationship Id="rId5" Type="http://schemas.openxmlformats.org/officeDocument/2006/relationships/numbering" Target="numbering.xml"/><Relationship Id="rId15" Type="http://schemas.openxmlformats.org/officeDocument/2006/relationships/hyperlink" Target="https://www.xing.com/companies/tde-transdataelektronikgmbh/updates" TargetMode="External"/><Relationship Id="rId10" Type="http://schemas.openxmlformats.org/officeDocument/2006/relationships/endnotes" Target="endnotes.xml"/><Relationship Id="rId19" Type="http://schemas.openxmlformats.org/officeDocument/2006/relationships/hyperlink" Target="http://www.epr-onlin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deConne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3" ma:contentTypeDescription="Ein neues Dokument erstellen." ma:contentTypeScope="" ma:versionID="9d693c455342fc163b82dfe38cf97fb4">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9d01176c4e122244ee48243c71882030"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E95F6-7792-4E9B-901F-EEF68E4D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FF9E7-41AD-427F-A533-7C9963D47346}">
  <ds:schemaRefs>
    <ds:schemaRef ds:uri="http://schemas.microsoft.com/sharepoint/v3/contenttype/forms"/>
  </ds:schemaRefs>
</ds:datastoreItem>
</file>

<file path=customXml/itemProps3.xml><?xml version="1.0" encoding="utf-8"?>
<ds:datastoreItem xmlns:ds="http://schemas.openxmlformats.org/officeDocument/2006/customXml" ds:itemID="{CB802496-75F2-4D1C-A33E-F1002AD64427}">
  <ds:schemaRefs>
    <ds:schemaRef ds:uri="http://schemas.openxmlformats.org/officeDocument/2006/bibliography"/>
  </ds:schemaRefs>
</ds:datastoreItem>
</file>

<file path=customXml/itemProps4.xml><?xml version="1.0" encoding="utf-8"?>
<ds:datastoreItem xmlns:ds="http://schemas.openxmlformats.org/officeDocument/2006/customXml" ds:itemID="{396C7671-456C-4204-BE25-3678FEC7F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Advisors</cp:lastModifiedBy>
  <cp:revision>5</cp:revision>
  <dcterms:created xsi:type="dcterms:W3CDTF">2022-05-12T12:07:00Z</dcterms:created>
  <dcterms:modified xsi:type="dcterms:W3CDTF">2022-05-17T13:43:00Z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