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5498" w14:textId="77777777" w:rsidR="00E75A06" w:rsidRDefault="00E75A06" w:rsidP="00E75A06">
      <w:pPr>
        <w:pStyle w:val="Doktitel"/>
      </w:pPr>
      <w:r>
        <w:t>Pressemitteilung</w:t>
      </w:r>
      <w:r w:rsidR="00F93F21">
        <w:br/>
      </w:r>
    </w:p>
    <w:p w14:paraId="338B5499" w14:textId="33D4F632" w:rsidR="00F93F21" w:rsidRPr="00F93F21" w:rsidRDefault="00A86124" w:rsidP="00E75A06">
      <w:pPr>
        <w:pStyle w:val="Inhalt"/>
        <w:tabs>
          <w:tab w:val="left" w:pos="4230"/>
        </w:tabs>
        <w:rPr>
          <w:b w:val="0"/>
          <w:bCs/>
          <w:sz w:val="20"/>
          <w:u w:val="single"/>
        </w:rPr>
      </w:pPr>
      <w:r>
        <w:rPr>
          <w:b w:val="0"/>
          <w:bCs/>
          <w:sz w:val="20"/>
          <w:u w:val="single"/>
        </w:rPr>
        <w:t>Bilanzzahlen 2021</w:t>
      </w:r>
    </w:p>
    <w:p w14:paraId="338B549A" w14:textId="77EEC275" w:rsidR="00E75A06" w:rsidRDefault="00A86124" w:rsidP="00E75A06">
      <w:pPr>
        <w:pStyle w:val="Inhalt"/>
        <w:tabs>
          <w:tab w:val="left" w:pos="4230"/>
        </w:tabs>
      </w:pPr>
      <w:r>
        <w:t>Erfolgreiches Geschäftsjahr 2021 für die Kreissparkasse Augsburg</w:t>
      </w:r>
    </w:p>
    <w:p w14:paraId="338B549B" w14:textId="783E08AE" w:rsidR="00E75A06" w:rsidRDefault="00A86124" w:rsidP="00E75A06">
      <w:pPr>
        <w:rPr>
          <w:rFonts w:eastAsia="MS Mincho"/>
        </w:rPr>
      </w:pPr>
      <w:r>
        <w:rPr>
          <w:rFonts w:eastAsia="MS Mincho"/>
        </w:rPr>
        <w:t>Augsburg, 15. März 2022</w:t>
      </w:r>
    </w:p>
    <w:p w14:paraId="406E5E7E" w14:textId="3FE4EAA7" w:rsidR="00F640E0" w:rsidRDefault="00D26E8A" w:rsidP="00A86124">
      <w:pPr>
        <w:rPr>
          <w:rFonts w:eastAsia="MS Mincho"/>
        </w:rPr>
      </w:pPr>
      <w:r w:rsidRPr="00D26E8A">
        <w:rPr>
          <w:rFonts w:eastAsia="MS Mincho"/>
        </w:rPr>
        <w:t xml:space="preserve">Die </w:t>
      </w:r>
      <w:r>
        <w:rPr>
          <w:rFonts w:eastAsia="MS Mincho"/>
        </w:rPr>
        <w:t>Kreissparkasse Augsburg</w:t>
      </w:r>
      <w:r w:rsidRPr="00D26E8A">
        <w:rPr>
          <w:rFonts w:eastAsia="MS Mincho"/>
        </w:rPr>
        <w:t xml:space="preserve"> blickt auf ein erfolgreiches Geschäftsjahr 2021 zurück. Im letzten Geschäftsjahr vor der Fusion mit der </w:t>
      </w:r>
      <w:r>
        <w:rPr>
          <w:rFonts w:eastAsia="MS Mincho"/>
        </w:rPr>
        <w:t>Sparkasse Memmingen-Lindau-Mindelheim</w:t>
      </w:r>
      <w:r w:rsidRPr="00D26E8A">
        <w:rPr>
          <w:rFonts w:eastAsia="MS Mincho"/>
        </w:rPr>
        <w:t xml:space="preserve"> zur Sparkasse Schwaben-Bodensee erzielte das Kreditinstitut eine Bilanzsumme von </w:t>
      </w:r>
      <w:r w:rsidR="00B204F9">
        <w:rPr>
          <w:rFonts w:eastAsia="MS Mincho"/>
        </w:rPr>
        <w:t>4.188 Millionen</w:t>
      </w:r>
      <w:r w:rsidRPr="00D26E8A">
        <w:rPr>
          <w:rFonts w:eastAsia="MS Mincho"/>
        </w:rPr>
        <w:t xml:space="preserve"> Euro und </w:t>
      </w:r>
      <w:r w:rsidR="00B204F9">
        <w:rPr>
          <w:rFonts w:eastAsia="MS Mincho"/>
        </w:rPr>
        <w:t xml:space="preserve">lag </w:t>
      </w:r>
      <w:r w:rsidR="00B204F9" w:rsidRPr="00D0135A">
        <w:rPr>
          <w:rFonts w:eastAsia="MS Mincho"/>
        </w:rPr>
        <w:t>damit rund 2</w:t>
      </w:r>
      <w:r w:rsidR="00B204F9">
        <w:rPr>
          <w:rFonts w:eastAsia="MS Mincho"/>
        </w:rPr>
        <w:t>44</w:t>
      </w:r>
      <w:r w:rsidR="00B204F9" w:rsidRPr="00D0135A">
        <w:rPr>
          <w:rFonts w:eastAsia="MS Mincho"/>
        </w:rPr>
        <w:t xml:space="preserve"> Millionen Euro bzw. </w:t>
      </w:r>
      <w:r w:rsidR="00B204F9">
        <w:rPr>
          <w:rFonts w:eastAsia="MS Mincho"/>
        </w:rPr>
        <w:t>6,2</w:t>
      </w:r>
      <w:r w:rsidR="00B204F9" w:rsidRPr="00D0135A">
        <w:rPr>
          <w:rFonts w:eastAsia="MS Mincho"/>
        </w:rPr>
        <w:t> Prozent über dem Vorjahresniveau</w:t>
      </w:r>
      <w:r w:rsidR="00B204F9" w:rsidRPr="00F57BF4">
        <w:rPr>
          <w:rFonts w:eastAsia="MS Mincho"/>
        </w:rPr>
        <w:t xml:space="preserve">. </w:t>
      </w:r>
      <w:r w:rsidR="006F5106">
        <w:rPr>
          <w:rFonts w:eastAsia="MS Mincho"/>
        </w:rPr>
        <w:t>Im Vergleich der 64 bayerischen Sparkassen belegte d</w:t>
      </w:r>
      <w:r w:rsidR="00B204F9" w:rsidRPr="00F57BF4">
        <w:rPr>
          <w:rFonts w:eastAsia="MS Mincho"/>
        </w:rPr>
        <w:t xml:space="preserve">ie Kreissparkasse Augsburg damit Platz </w:t>
      </w:r>
      <w:r w:rsidR="00B204F9">
        <w:rPr>
          <w:rFonts w:eastAsia="MS Mincho"/>
        </w:rPr>
        <w:t xml:space="preserve">21 und setzte ihren </w:t>
      </w:r>
      <w:r w:rsidR="00EB4977">
        <w:rPr>
          <w:rFonts w:eastAsia="MS Mincho"/>
        </w:rPr>
        <w:t>stabilen Wachstumstrend auch 2021 fort.</w:t>
      </w:r>
    </w:p>
    <w:p w14:paraId="66C01849" w14:textId="55BBFACF" w:rsidR="00673D3E" w:rsidRDefault="00673D3E" w:rsidP="00A86124">
      <w:pPr>
        <w:rPr>
          <w:rFonts w:eastAsia="MS Mincho"/>
        </w:rPr>
      </w:pPr>
      <w:r>
        <w:rPr>
          <w:rFonts w:eastAsia="MS Mincho"/>
        </w:rPr>
        <w:t>Horst Schönfeld, stellvertretender Vorstandsvorsitzender</w:t>
      </w:r>
      <w:r w:rsidR="00873528">
        <w:rPr>
          <w:rFonts w:eastAsia="MS Mincho"/>
        </w:rPr>
        <w:t xml:space="preserve"> der Sparkasse Schwaben-Bodensee</w:t>
      </w:r>
      <w:r>
        <w:rPr>
          <w:rFonts w:eastAsia="MS Mincho"/>
        </w:rPr>
        <w:t>, zeigt sich zufrieden mit dem Geschäftsergebnis: „</w:t>
      </w:r>
      <w:r w:rsidR="0091219B">
        <w:rPr>
          <w:rFonts w:eastAsia="MS Mincho"/>
        </w:rPr>
        <w:t xml:space="preserve">Die Herausforderungen, </w:t>
      </w:r>
      <w:r w:rsidR="0040253B">
        <w:rPr>
          <w:rFonts w:eastAsia="MS Mincho"/>
        </w:rPr>
        <w:t>die uns schon seit Jahren begleiten wie Niedrigzinspolitik, sich änderndes Kundenverhalten und stetig steigende Regulatorik</w:t>
      </w:r>
      <w:r w:rsidR="006E1A23">
        <w:rPr>
          <w:rFonts w:eastAsia="MS Mincho"/>
        </w:rPr>
        <w:t>, haben sich auch 2021 fortgesetzt. Trotz allem ist es uns gelungen, unser Ergebnis nicht nur stabil zu halten, sondern sogar noch zu verbessern.“</w:t>
      </w:r>
      <w:r w:rsidR="0091219B">
        <w:rPr>
          <w:rFonts w:eastAsia="MS Mincho"/>
        </w:rPr>
        <w:t xml:space="preserve"> </w:t>
      </w:r>
    </w:p>
    <w:p w14:paraId="3BFE5816" w14:textId="62BA446E" w:rsidR="00250DBB" w:rsidRDefault="00A86124" w:rsidP="00A86124">
      <w:pPr>
        <w:rPr>
          <w:rFonts w:eastAsia="MS Mincho"/>
        </w:rPr>
      </w:pPr>
      <w:r w:rsidRPr="7CD66CD3">
        <w:rPr>
          <w:rFonts w:eastAsia="MS Mincho"/>
        </w:rPr>
        <w:t xml:space="preserve">Die </w:t>
      </w:r>
      <w:r w:rsidRPr="7CD66CD3">
        <w:rPr>
          <w:rFonts w:eastAsia="MS Mincho"/>
          <w:b/>
          <w:bCs/>
        </w:rPr>
        <w:t>Gesamteinlagen</w:t>
      </w:r>
      <w:r w:rsidRPr="7CD66CD3">
        <w:rPr>
          <w:rFonts w:eastAsia="MS Mincho"/>
        </w:rPr>
        <w:t xml:space="preserve"> betrugen 3.199 Millionen Euro und stiegen damit im Vergleich zum Vorjahr um rund 166 Millionen Euro bzw. 5,5 Prozent. Der Großteil der Einlagen stammt mit 2.441 Millionen Euro (Vorjahr: 2.462 Millionen Euro) von Privatpersonen. Diese ziehen aufgrund historisch niedriger Zinsen vermehrt alternative Anlagen</w:t>
      </w:r>
      <w:r w:rsidR="0015238B">
        <w:rPr>
          <w:rFonts w:eastAsia="MS Mincho"/>
        </w:rPr>
        <w:t xml:space="preserve"> in Betracht, etwa in </w:t>
      </w:r>
      <w:r w:rsidRPr="7CD66CD3">
        <w:rPr>
          <w:rFonts w:eastAsia="MS Mincho"/>
        </w:rPr>
        <w:t xml:space="preserve">Wertpapiere, Fonds, Edelmetalle oder Immobilien. </w:t>
      </w:r>
      <w:r w:rsidR="00680D40" w:rsidRPr="7CD66CD3">
        <w:rPr>
          <w:rFonts w:eastAsia="MS Mincho"/>
        </w:rPr>
        <w:t>„Die</w:t>
      </w:r>
      <w:r w:rsidR="002C5E91" w:rsidRPr="7CD66CD3">
        <w:rPr>
          <w:rFonts w:eastAsia="MS Mincho"/>
        </w:rPr>
        <w:t xml:space="preserve"> Kunden reagieren </w:t>
      </w:r>
      <w:r w:rsidR="00EB5EB8" w:rsidRPr="7CD66CD3">
        <w:rPr>
          <w:rFonts w:eastAsia="MS Mincho"/>
        </w:rPr>
        <w:t>aktiv darauf</w:t>
      </w:r>
      <w:r w:rsidR="002C5E91" w:rsidRPr="7CD66CD3">
        <w:rPr>
          <w:rFonts w:eastAsia="MS Mincho"/>
        </w:rPr>
        <w:t xml:space="preserve">, dass sie Vermögen und Altersvorsorge nicht mehr ausschließlich über Spareinlagen </w:t>
      </w:r>
      <w:r w:rsidR="002C5E91" w:rsidRPr="7CD66CD3">
        <w:rPr>
          <w:rFonts w:eastAsia="MS Mincho"/>
        </w:rPr>
        <w:lastRenderedPageBreak/>
        <w:t>aufbauen können. Gerade in Zeiten</w:t>
      </w:r>
      <w:r w:rsidR="0074038A" w:rsidRPr="7CD66CD3">
        <w:rPr>
          <w:rFonts w:eastAsia="MS Mincho"/>
        </w:rPr>
        <w:t xml:space="preserve"> von unsicheren und nervösen Finanzmärkten </w:t>
      </w:r>
      <w:r w:rsidR="00680D40" w:rsidRPr="7CD66CD3">
        <w:rPr>
          <w:rFonts w:eastAsia="MS Mincho"/>
        </w:rPr>
        <w:t>ist eine kompetente Beratung besonders wichtig. Unser gute</w:t>
      </w:r>
      <w:r w:rsidR="006B3DEC">
        <w:rPr>
          <w:rFonts w:eastAsia="MS Mincho"/>
        </w:rPr>
        <w:t>s Ergebnis</w:t>
      </w:r>
      <w:r w:rsidR="00680D40" w:rsidRPr="7CD66CD3">
        <w:rPr>
          <w:rFonts w:eastAsia="MS Mincho"/>
        </w:rPr>
        <w:t xml:space="preserve"> </w:t>
      </w:r>
      <w:r w:rsidR="0062357F" w:rsidRPr="7CD66CD3">
        <w:rPr>
          <w:rFonts w:eastAsia="MS Mincho"/>
        </w:rPr>
        <w:t>beim Wertpapiergeschäft</w:t>
      </w:r>
      <w:r w:rsidR="006B3DEC">
        <w:rPr>
          <w:rFonts w:eastAsia="MS Mincho"/>
        </w:rPr>
        <w:t xml:space="preserve"> (</w:t>
      </w:r>
      <w:r w:rsidR="00503838">
        <w:rPr>
          <w:rFonts w:eastAsia="MS Mincho"/>
        </w:rPr>
        <w:t xml:space="preserve">Anstieg des </w:t>
      </w:r>
      <w:r w:rsidR="006B3DEC">
        <w:rPr>
          <w:rFonts w:eastAsia="MS Mincho"/>
        </w:rPr>
        <w:t>Wertpapierumsatz</w:t>
      </w:r>
      <w:r w:rsidR="00503838">
        <w:rPr>
          <w:rFonts w:eastAsia="MS Mincho"/>
        </w:rPr>
        <w:t>es</w:t>
      </w:r>
      <w:r w:rsidR="006B3DEC">
        <w:rPr>
          <w:rFonts w:eastAsia="MS Mincho"/>
        </w:rPr>
        <w:t xml:space="preserve"> </w:t>
      </w:r>
      <w:r w:rsidR="00503838">
        <w:rPr>
          <w:rFonts w:eastAsia="MS Mincho"/>
        </w:rPr>
        <w:t>um 20,3</w:t>
      </w:r>
      <w:r w:rsidR="0085121B">
        <w:rPr>
          <w:rFonts w:eastAsia="MS Mincho"/>
        </w:rPr>
        <w:t xml:space="preserve"> Prozent</w:t>
      </w:r>
      <w:r w:rsidR="00503838">
        <w:rPr>
          <w:rFonts w:eastAsia="MS Mincho"/>
        </w:rPr>
        <w:t xml:space="preserve"> auf 449,4 M</w:t>
      </w:r>
      <w:r w:rsidR="0085121B">
        <w:rPr>
          <w:rFonts w:eastAsia="MS Mincho"/>
        </w:rPr>
        <w:t>illionen Euro</w:t>
      </w:r>
      <w:r w:rsidR="006B3DEC">
        <w:rPr>
          <w:rFonts w:eastAsia="MS Mincho"/>
        </w:rPr>
        <w:t>)</w:t>
      </w:r>
      <w:r w:rsidR="0062357F" w:rsidRPr="7CD66CD3">
        <w:rPr>
          <w:rFonts w:eastAsia="MS Mincho"/>
        </w:rPr>
        <w:t xml:space="preserve"> zeigt das Vertrauen, das unsere Kunden uns hier entgegenbringen</w:t>
      </w:r>
      <w:r w:rsidR="0074038A" w:rsidRPr="7CD66CD3">
        <w:rPr>
          <w:rFonts w:eastAsia="MS Mincho"/>
        </w:rPr>
        <w:t xml:space="preserve">“, führt </w:t>
      </w:r>
      <w:r w:rsidR="009724C9" w:rsidRPr="7CD66CD3">
        <w:rPr>
          <w:rFonts w:eastAsia="MS Mincho"/>
        </w:rPr>
        <w:t>Vorstandsmitglied Dr. Wolfgang Zettl</w:t>
      </w:r>
      <w:r w:rsidR="0074038A" w:rsidRPr="7CD66CD3">
        <w:rPr>
          <w:rFonts w:eastAsia="MS Mincho"/>
        </w:rPr>
        <w:t xml:space="preserve"> aus. </w:t>
      </w:r>
    </w:p>
    <w:p w14:paraId="1F0E3877" w14:textId="3D994524" w:rsidR="002123F7" w:rsidRPr="004E1B97" w:rsidRDefault="004E1B97" w:rsidP="00A86124">
      <w:pPr>
        <w:rPr>
          <w:rFonts w:eastAsia="MS Mincho"/>
          <w:b/>
          <w:bCs/>
        </w:rPr>
      </w:pPr>
      <w:r w:rsidRPr="004E1B97">
        <w:rPr>
          <w:rFonts w:eastAsia="MS Mincho"/>
          <w:b/>
          <w:bCs/>
        </w:rPr>
        <w:t>Kreditgeschäft: erfreuliches Wachstum</w:t>
      </w:r>
    </w:p>
    <w:p w14:paraId="18BA016B" w14:textId="2BA134AE" w:rsidR="00A86124" w:rsidRDefault="00A86124" w:rsidP="00A86124">
      <w:pPr>
        <w:rPr>
          <w:rFonts w:eastAsia="MS Mincho"/>
        </w:rPr>
      </w:pPr>
      <w:r w:rsidRPr="7CD66CD3">
        <w:rPr>
          <w:rFonts w:eastAsia="MS Mincho"/>
        </w:rPr>
        <w:t xml:space="preserve">Angesichts des niedrigen Zinsniveaus ist auch das </w:t>
      </w:r>
      <w:r w:rsidRPr="7CD66CD3">
        <w:rPr>
          <w:rFonts w:eastAsia="MS Mincho"/>
          <w:b/>
          <w:bCs/>
        </w:rPr>
        <w:t>Kreditgeschäft</w:t>
      </w:r>
      <w:r w:rsidRPr="7CD66CD3">
        <w:rPr>
          <w:rFonts w:eastAsia="MS Mincho"/>
        </w:rPr>
        <w:t xml:space="preserve"> gewachsen: Zum Jahresende 2021 hatte die Kreissparkasse Augsburg 2.964 Millionen Euro an ihre Kunden ausgeliehen. Das entspricht einem Wachstum von 157 Millionen Euro bzw. rund 5,6 Prozent. Die Ausleihungen an Privatpersonen aus eigenen Mitteln der Sparkasse sind auf 1.109 Millionen Euro gestiegen (Vorjahr: 1.046 Millionen Euro), zusätzlich wurden Kredite in Höhe von 54 Millionen Euro an die Partner im Sparkassenverbund, LBS Bayern und Versicherungskammer Bayern</w:t>
      </w:r>
      <w:r w:rsidR="00D84B18">
        <w:rPr>
          <w:rFonts w:eastAsia="MS Mincho"/>
        </w:rPr>
        <w:t>,</w:t>
      </w:r>
      <w:r w:rsidRPr="7CD66CD3">
        <w:rPr>
          <w:rFonts w:eastAsia="MS Mincho"/>
        </w:rPr>
        <w:t xml:space="preserve"> vermittelt. </w:t>
      </w:r>
    </w:p>
    <w:p w14:paraId="66775F90" w14:textId="2E3A3198" w:rsidR="00E362DE" w:rsidRDefault="00A86124" w:rsidP="00E362DE">
      <w:pPr>
        <w:rPr>
          <w:rFonts w:eastAsia="MS Mincho"/>
        </w:rPr>
      </w:pPr>
      <w:r w:rsidRPr="496A9E11">
        <w:rPr>
          <w:rFonts w:eastAsia="MS Mincho"/>
        </w:rPr>
        <w:t xml:space="preserve">Die Ausleihungen an Unternehmen und Selbstständige stiegen, auch wegen großvolumiger Projektfinanzierungen, um 4,9 Prozent auf 1.762 Millionen Euro (Vorjahr: 1.679 Millionen Euro). </w:t>
      </w:r>
      <w:r w:rsidR="008D0F18" w:rsidRPr="496A9E11">
        <w:rPr>
          <w:rFonts w:eastAsia="MS Mincho"/>
        </w:rPr>
        <w:t>„Auch 2021 gab es wieder Corona-Maßnahmen, die zu Geschäftseinbrüchen führten und Überbrückungen notwendig machten</w:t>
      </w:r>
      <w:r w:rsidR="007A720F" w:rsidRPr="496A9E11">
        <w:rPr>
          <w:rFonts w:eastAsia="MS Mincho"/>
        </w:rPr>
        <w:t xml:space="preserve">. </w:t>
      </w:r>
      <w:r w:rsidR="00602DF9" w:rsidRPr="496A9E11">
        <w:rPr>
          <w:rFonts w:eastAsia="MS Mincho"/>
        </w:rPr>
        <w:t>Damit wurde die Vorkrisen-Kreditnachfrage erneut übertroffen</w:t>
      </w:r>
      <w:r w:rsidR="007A720F" w:rsidRPr="496A9E11">
        <w:rPr>
          <w:rFonts w:eastAsia="MS Mincho"/>
        </w:rPr>
        <w:t>“</w:t>
      </w:r>
      <w:r w:rsidR="00602DF9" w:rsidRPr="496A9E11">
        <w:rPr>
          <w:rFonts w:eastAsia="MS Mincho"/>
        </w:rPr>
        <w:t>,</w:t>
      </w:r>
      <w:r w:rsidR="007A720F" w:rsidRPr="496A9E11">
        <w:rPr>
          <w:rFonts w:eastAsia="MS Mincho"/>
        </w:rPr>
        <w:t xml:space="preserve"> sagt </w:t>
      </w:r>
      <w:r w:rsidR="001B7E28" w:rsidRPr="496A9E11">
        <w:rPr>
          <w:rFonts w:eastAsia="MS Mincho"/>
        </w:rPr>
        <w:t>Zettl</w:t>
      </w:r>
      <w:r w:rsidR="007A720F" w:rsidRPr="496A9E11">
        <w:rPr>
          <w:rFonts w:eastAsia="MS Mincho"/>
        </w:rPr>
        <w:t>.</w:t>
      </w:r>
      <w:r w:rsidR="00E471EA" w:rsidRPr="496A9E11">
        <w:rPr>
          <w:rFonts w:eastAsia="MS Mincho"/>
        </w:rPr>
        <w:t xml:space="preserve"> „Als Sparkasse begleiten wir seit vielen Jahrzehnten vor allem mittelständische Unternehmen in der Region, </w:t>
      </w:r>
      <w:r w:rsidR="007D6E41" w:rsidRPr="496A9E11">
        <w:rPr>
          <w:rFonts w:eastAsia="MS Mincho"/>
        </w:rPr>
        <w:t>sichern den wirtschaftlichen Erfolg und damit Arbeitsplätze.</w:t>
      </w:r>
      <w:r w:rsidR="004240E4" w:rsidRPr="496A9E11">
        <w:rPr>
          <w:rFonts w:eastAsia="MS Mincho"/>
        </w:rPr>
        <w:t xml:space="preserve">“ </w:t>
      </w:r>
    </w:p>
    <w:p w14:paraId="7A118FA2" w14:textId="369401B4" w:rsidR="00FD61AE" w:rsidRDefault="00FD61AE" w:rsidP="00E362DE">
      <w:pPr>
        <w:rPr>
          <w:rFonts w:eastAsia="MS Mincho"/>
        </w:rPr>
      </w:pPr>
      <w:r>
        <w:rPr>
          <w:rFonts w:eastAsia="MS Mincho"/>
        </w:rPr>
        <w:t xml:space="preserve">Die Nachfrage nach Krediten ist bei Privatpersonen wie bei Unternehmen </w:t>
      </w:r>
      <w:r w:rsidR="00197807">
        <w:rPr>
          <w:rFonts w:eastAsia="MS Mincho"/>
        </w:rPr>
        <w:t>ungebrochen</w:t>
      </w:r>
      <w:r>
        <w:rPr>
          <w:rFonts w:eastAsia="MS Mincho"/>
        </w:rPr>
        <w:t xml:space="preserve"> hoch. </w:t>
      </w:r>
      <w:r w:rsidR="002B7CB3">
        <w:rPr>
          <w:rFonts w:eastAsia="MS Mincho"/>
        </w:rPr>
        <w:t>„Daran erkennen wir auch,</w:t>
      </w:r>
      <w:r w:rsidR="00197807">
        <w:rPr>
          <w:rFonts w:eastAsia="MS Mincho"/>
        </w:rPr>
        <w:t xml:space="preserve"> dass das Geschäftsmodell, Einlagen einzusammeln und Kredite zu vergeben, aktueller denn je und </w:t>
      </w:r>
      <w:r w:rsidR="002B7CB3">
        <w:rPr>
          <w:rFonts w:eastAsia="MS Mincho"/>
        </w:rPr>
        <w:t xml:space="preserve">längst nicht so überholt ist, wie es teilweise dargestellt wird“, so </w:t>
      </w:r>
      <w:r w:rsidR="001B7E28">
        <w:rPr>
          <w:rFonts w:eastAsia="MS Mincho"/>
        </w:rPr>
        <w:t>Zettl</w:t>
      </w:r>
      <w:r w:rsidR="002B7CB3">
        <w:rPr>
          <w:rFonts w:eastAsia="MS Mincho"/>
        </w:rPr>
        <w:t>.</w:t>
      </w:r>
    </w:p>
    <w:p w14:paraId="53DAB501" w14:textId="323031A0" w:rsidR="005B23A4" w:rsidRPr="005B23A4" w:rsidRDefault="005B23A4" w:rsidP="00E362DE">
      <w:pPr>
        <w:rPr>
          <w:rFonts w:eastAsia="MS Mincho"/>
          <w:b/>
          <w:bCs/>
        </w:rPr>
      </w:pPr>
      <w:r w:rsidRPr="005B23A4">
        <w:rPr>
          <w:rFonts w:eastAsia="MS Mincho"/>
          <w:b/>
          <w:bCs/>
        </w:rPr>
        <w:t>Erfolgreiches Jahr am Immobilienmarkt</w:t>
      </w:r>
    </w:p>
    <w:p w14:paraId="58AA52A1" w14:textId="526B3921" w:rsidR="00A86124" w:rsidRDefault="00A86124" w:rsidP="00A86124">
      <w:pPr>
        <w:rPr>
          <w:rFonts w:eastAsia="MS Mincho"/>
        </w:rPr>
      </w:pPr>
      <w:r w:rsidRPr="496A9E11">
        <w:rPr>
          <w:rFonts w:eastAsia="MS Mincho"/>
        </w:rPr>
        <w:lastRenderedPageBreak/>
        <w:t xml:space="preserve">Am </w:t>
      </w:r>
      <w:r w:rsidRPr="496A9E11">
        <w:rPr>
          <w:rFonts w:eastAsia="MS Mincho"/>
          <w:b/>
          <w:bCs/>
        </w:rPr>
        <w:t>Immobilienmarkt</w:t>
      </w:r>
      <w:r w:rsidRPr="496A9E11">
        <w:rPr>
          <w:rFonts w:eastAsia="MS Mincho"/>
        </w:rPr>
        <w:t xml:space="preserve"> setzt sich die Entwicklung der Vorjahre trotz der Pandemie fort: Der hohen Nachfrage steht nur ein geringes Angebot gegenüber. Die Kreissparkasse zeigte ihre Kompetenz in diesem angespannten Markt auch im vergangenen Jahr. Das ImmobilienCenter vermittelte insgesamt 166 Objekte (Vorjahr: 170) im Wert von rund 69,6 Millionen Euro (Vorjahr: 65,8 Millionen Euro) und belegt</w:t>
      </w:r>
      <w:r w:rsidR="0036534A">
        <w:rPr>
          <w:rFonts w:eastAsia="MS Mincho"/>
        </w:rPr>
        <w:t>e</w:t>
      </w:r>
      <w:r w:rsidRPr="496A9E11">
        <w:rPr>
          <w:rFonts w:eastAsia="MS Mincho"/>
        </w:rPr>
        <w:t xml:space="preserve"> damit Platz 13 bei den 64 bayerischen Sparkassen. Neben der Vermittlung von privaten Objekten war auch die Erfahrung der Kreissparkasse bei </w:t>
      </w:r>
      <w:r w:rsidR="00356DBD">
        <w:rPr>
          <w:rFonts w:eastAsia="MS Mincho"/>
        </w:rPr>
        <w:t>gewerblichen Objekten</w:t>
      </w:r>
      <w:r w:rsidRPr="496A9E11">
        <w:rPr>
          <w:rFonts w:eastAsia="MS Mincho"/>
        </w:rPr>
        <w:t xml:space="preserve"> gefragt. Die Nachfrage am Neubaumarkt ist anhaltend hoch</w:t>
      </w:r>
      <w:r w:rsidR="00FB7EFF">
        <w:rPr>
          <w:rFonts w:eastAsia="MS Mincho"/>
        </w:rPr>
        <w:t>.</w:t>
      </w:r>
    </w:p>
    <w:p w14:paraId="1930CDB2" w14:textId="77777777" w:rsidR="00A86124" w:rsidRDefault="00A86124" w:rsidP="00A86124">
      <w:pPr>
        <w:rPr>
          <w:rFonts w:eastAsia="MS Mincho"/>
        </w:rPr>
      </w:pPr>
      <w:r w:rsidRPr="000B1AAB">
        <w:rPr>
          <w:rFonts w:eastAsia="MS Mincho"/>
        </w:rPr>
        <w:t>Der Bilanzgewinn beläuft sich auf 3,5 Millionen Euro (Vorjahr: 3,3 Millionen Euro). Die Gesamtkapitalquote beträgt 16,3 Prozent (Vorjahr: 16,8 Prozent). Damit erfüllt die Kreissparkasse sämtliche aufsichtsrechtlichen Eigenkapitalanforderungen, die kontinuierlich steigen.</w:t>
      </w:r>
    </w:p>
    <w:p w14:paraId="4B01DA96" w14:textId="785DE2A6" w:rsidR="00A86124" w:rsidRDefault="005B23A4" w:rsidP="00A86124">
      <w:pPr>
        <w:rPr>
          <w:rFonts w:eastAsia="MS Mincho"/>
          <w:b/>
          <w:bCs/>
        </w:rPr>
      </w:pPr>
      <w:r>
        <w:rPr>
          <w:rFonts w:eastAsia="MS Mincho"/>
          <w:b/>
          <w:bCs/>
        </w:rPr>
        <w:t>Mehr als eine Bank</w:t>
      </w:r>
    </w:p>
    <w:p w14:paraId="5E625F1F" w14:textId="32E376FE" w:rsidR="00D05FC8" w:rsidRDefault="00A86124" w:rsidP="00D05FC8">
      <w:pPr>
        <w:rPr>
          <w:rFonts w:eastAsia="MS Mincho"/>
        </w:rPr>
      </w:pPr>
      <w:r w:rsidRPr="496A9E11">
        <w:rPr>
          <w:rFonts w:eastAsia="MS Mincho"/>
        </w:rPr>
        <w:t>Auch im Jahr 2021 unterstützte die Kreissparkasse gemeinnützige Einrichtungen und Projekte in der Region. 200.000 Euro flossen in 110 (Vorjahr: 128) verschiedene Maßnahmen, die die Kreissparkasse ausgewählt und mit Spenden bzw. Sponsoring gefördert hat.</w:t>
      </w:r>
      <w:r w:rsidR="00D05FC8" w:rsidRPr="496A9E11">
        <w:rPr>
          <w:rFonts w:eastAsia="MS Mincho"/>
        </w:rPr>
        <w:t xml:space="preserve"> Dieses Engagement wird die fusionierte Sparkasse Schwaben-Bodensee auch in Zukunft </w:t>
      </w:r>
      <w:r w:rsidR="001B6A94">
        <w:rPr>
          <w:rFonts w:eastAsia="MS Mincho"/>
        </w:rPr>
        <w:t xml:space="preserve">im gesamten Geschäftsgebiet </w:t>
      </w:r>
      <w:r w:rsidR="00D05FC8" w:rsidRPr="496A9E11">
        <w:rPr>
          <w:rFonts w:eastAsia="MS Mincho"/>
        </w:rPr>
        <w:t xml:space="preserve">weiterführen. Ob Kunstausstellung, </w:t>
      </w:r>
      <w:r w:rsidR="0071630B">
        <w:rPr>
          <w:rFonts w:eastAsia="MS Mincho"/>
        </w:rPr>
        <w:t>Förderung von sozialem Engagement</w:t>
      </w:r>
      <w:r w:rsidR="0071630B" w:rsidRPr="496A9E11">
        <w:rPr>
          <w:rFonts w:eastAsia="MS Mincho"/>
        </w:rPr>
        <w:t xml:space="preserve"> </w:t>
      </w:r>
      <w:r w:rsidR="00D05FC8" w:rsidRPr="496A9E11">
        <w:rPr>
          <w:rFonts w:eastAsia="MS Mincho"/>
        </w:rPr>
        <w:t xml:space="preserve">oder erneuerbare Energien: „Wir übernehmen Verantwortung. Nur wenn wir heute schon die Herausforderungen von morgen sehen und </w:t>
      </w:r>
      <w:r w:rsidR="00367A7C" w:rsidRPr="496A9E11">
        <w:rPr>
          <w:rFonts w:eastAsia="MS Mincho"/>
        </w:rPr>
        <w:t>handeln</w:t>
      </w:r>
      <w:r w:rsidR="00D05FC8" w:rsidRPr="496A9E11">
        <w:rPr>
          <w:rFonts w:eastAsia="MS Mincho"/>
        </w:rPr>
        <w:t xml:space="preserve">, können wir auch künftig gut und selbstbestimmt in der Region leben“, sagt </w:t>
      </w:r>
      <w:r w:rsidR="00D700E4" w:rsidRPr="496A9E11">
        <w:rPr>
          <w:rFonts w:eastAsia="MS Mincho"/>
        </w:rPr>
        <w:t>Horst Schönfeld</w:t>
      </w:r>
      <w:r w:rsidR="00D05FC8" w:rsidRPr="496A9E11">
        <w:rPr>
          <w:rFonts w:eastAsia="MS Mincho"/>
        </w:rPr>
        <w:t>. Aus diesem Grund hat sich die Sparkasse dazu verpflichtet, ihren Geschäftsbetrieb bis</w:t>
      </w:r>
      <w:r w:rsidR="001B6A94">
        <w:rPr>
          <w:rFonts w:eastAsia="MS Mincho"/>
        </w:rPr>
        <w:t xml:space="preserve"> spätestens</w:t>
      </w:r>
      <w:r w:rsidR="00D05FC8" w:rsidRPr="496A9E11">
        <w:rPr>
          <w:rFonts w:eastAsia="MS Mincho"/>
        </w:rPr>
        <w:t xml:space="preserve"> 2035 CO</w:t>
      </w:r>
      <w:r w:rsidR="00D05FC8" w:rsidRPr="496A9E11">
        <w:rPr>
          <w:rFonts w:eastAsia="MS Mincho"/>
          <w:vertAlign w:val="subscript"/>
        </w:rPr>
        <w:t>2</w:t>
      </w:r>
      <w:r w:rsidR="00D05FC8" w:rsidRPr="496A9E11">
        <w:rPr>
          <w:rFonts w:eastAsia="MS Mincho"/>
        </w:rPr>
        <w:t>-neutral zu gestalten.</w:t>
      </w:r>
    </w:p>
    <w:p w14:paraId="20DD414C" w14:textId="176C00A6" w:rsidR="00A86124" w:rsidRDefault="00BC3937" w:rsidP="00A86124">
      <w:pPr>
        <w:rPr>
          <w:rFonts w:eastAsia="MS Mincho"/>
        </w:rPr>
      </w:pPr>
      <w:r w:rsidRPr="496A9E11">
        <w:rPr>
          <w:rFonts w:eastAsia="MS Mincho"/>
        </w:rPr>
        <w:t>Verantwortung übernimmt die Kreissparkasse ebenfalls für ihre Beschäftigten. Denn: „</w:t>
      </w:r>
      <w:r w:rsidR="00ED0ACB" w:rsidRPr="496A9E11">
        <w:rPr>
          <w:rFonts w:eastAsia="MS Mincho"/>
        </w:rPr>
        <w:t>Jede Mitarbeiterin und jeder Mitarbeiter trägt zu unserem Erfolg bei – Tag für Tag“, s</w:t>
      </w:r>
      <w:r w:rsidR="00D700E4" w:rsidRPr="496A9E11">
        <w:rPr>
          <w:rFonts w:eastAsia="MS Mincho"/>
        </w:rPr>
        <w:t>o Schönfeld</w:t>
      </w:r>
      <w:r w:rsidR="00ED0ACB" w:rsidRPr="496A9E11">
        <w:rPr>
          <w:rFonts w:eastAsia="MS Mincho"/>
        </w:rPr>
        <w:t xml:space="preserve">. </w:t>
      </w:r>
      <w:r w:rsidR="00A86124" w:rsidRPr="496A9E11">
        <w:rPr>
          <w:rFonts w:eastAsia="MS Mincho"/>
        </w:rPr>
        <w:t xml:space="preserve">Zum Jahresende </w:t>
      </w:r>
      <w:r w:rsidR="00A86124" w:rsidRPr="496A9E11">
        <w:rPr>
          <w:rFonts w:eastAsia="MS Mincho"/>
        </w:rPr>
        <w:lastRenderedPageBreak/>
        <w:t>zählte die Kreissparkasse 474 Beschäftigte, darunter 35 Auszubildende</w:t>
      </w:r>
      <w:r w:rsidR="00720064" w:rsidRPr="496A9E11">
        <w:rPr>
          <w:rFonts w:eastAsia="MS Mincho"/>
        </w:rPr>
        <w:t xml:space="preserve"> zum Bankkaufmann, zur Bankkauffrau oder in einem Dualen Studium.</w:t>
      </w:r>
    </w:p>
    <w:p w14:paraId="75934F2F" w14:textId="2561A504" w:rsidR="00D05FC8" w:rsidRPr="003D08D5" w:rsidRDefault="00D05FC8" w:rsidP="00D05FC8">
      <w:pPr>
        <w:rPr>
          <w:rFonts w:eastAsia="MS Mincho"/>
        </w:rPr>
      </w:pPr>
      <w:r w:rsidRPr="496A9E11">
        <w:rPr>
          <w:rFonts w:eastAsia="MS Mincho"/>
        </w:rPr>
        <w:t xml:space="preserve">Die Sparkasse Schwaben-Bodensee bildet künftig junge Menschen im gesamten Geschäftsgebiet </w:t>
      </w:r>
      <w:r w:rsidR="00720064" w:rsidRPr="496A9E11">
        <w:rPr>
          <w:rFonts w:eastAsia="MS Mincho"/>
        </w:rPr>
        <w:t xml:space="preserve">aus – </w:t>
      </w:r>
      <w:r w:rsidRPr="496A9E11">
        <w:rPr>
          <w:rFonts w:eastAsia="MS Mincho"/>
        </w:rPr>
        <w:t xml:space="preserve">von der Region Augsburg über das Unterallgäu bis nach Lindau. </w:t>
      </w:r>
      <w:r w:rsidR="006F38F9" w:rsidRPr="496A9E11">
        <w:rPr>
          <w:rFonts w:eastAsia="MS Mincho"/>
        </w:rPr>
        <w:t>Aber: Die</w:t>
      </w:r>
      <w:r w:rsidRPr="496A9E11">
        <w:rPr>
          <w:rFonts w:eastAsia="MS Mincho"/>
        </w:rPr>
        <w:t xml:space="preserve"> Ausbildung bleibt wohnortnah</w:t>
      </w:r>
      <w:r w:rsidR="006F38F9" w:rsidRPr="496A9E11">
        <w:rPr>
          <w:rFonts w:eastAsia="MS Mincho"/>
        </w:rPr>
        <w:t>,</w:t>
      </w:r>
      <w:r w:rsidR="00287A11" w:rsidRPr="496A9E11">
        <w:rPr>
          <w:rFonts w:eastAsia="MS Mincho"/>
        </w:rPr>
        <w:t xml:space="preserve"> auf die Auszubildenden </w:t>
      </w:r>
      <w:r w:rsidR="006F38F9" w:rsidRPr="496A9E11">
        <w:rPr>
          <w:rFonts w:eastAsia="MS Mincho"/>
        </w:rPr>
        <w:t xml:space="preserve">kommen </w:t>
      </w:r>
      <w:r w:rsidR="00287A11" w:rsidRPr="496A9E11">
        <w:rPr>
          <w:rFonts w:eastAsia="MS Mincho"/>
        </w:rPr>
        <w:t xml:space="preserve">durch die Fusion keine weiteren Pendelstrecken </w:t>
      </w:r>
      <w:r w:rsidR="006F38F9" w:rsidRPr="496A9E11">
        <w:rPr>
          <w:rFonts w:eastAsia="MS Mincho"/>
        </w:rPr>
        <w:t>zu</w:t>
      </w:r>
      <w:r w:rsidR="00287A11" w:rsidRPr="496A9E11">
        <w:rPr>
          <w:rFonts w:eastAsia="MS Mincho"/>
        </w:rPr>
        <w:t xml:space="preserve"> als zuvor.</w:t>
      </w:r>
      <w:r w:rsidRPr="496A9E11">
        <w:rPr>
          <w:rFonts w:eastAsia="MS Mincho"/>
        </w:rPr>
        <w:t xml:space="preserve"> </w:t>
      </w:r>
      <w:r w:rsidR="00915998" w:rsidRPr="496A9E11">
        <w:rPr>
          <w:rFonts w:eastAsia="MS Mincho"/>
        </w:rPr>
        <w:t xml:space="preserve">Schönfeld betont: </w:t>
      </w:r>
      <w:r w:rsidRPr="496A9E11">
        <w:rPr>
          <w:rFonts w:eastAsia="MS Mincho"/>
        </w:rPr>
        <w:t>„</w:t>
      </w:r>
      <w:r w:rsidR="00287A11" w:rsidRPr="496A9E11">
        <w:rPr>
          <w:rFonts w:eastAsia="MS Mincho"/>
        </w:rPr>
        <w:t>G</w:t>
      </w:r>
      <w:r w:rsidRPr="496A9E11">
        <w:rPr>
          <w:rFonts w:eastAsia="MS Mincho"/>
        </w:rPr>
        <w:t xml:space="preserve">ut ausgebildete junge Menschen </w:t>
      </w:r>
      <w:r w:rsidR="006F38F9" w:rsidRPr="496A9E11">
        <w:rPr>
          <w:rFonts w:eastAsia="MS Mincho"/>
        </w:rPr>
        <w:t>bilden die Grundlage dafür</w:t>
      </w:r>
      <w:r w:rsidRPr="496A9E11">
        <w:rPr>
          <w:rFonts w:eastAsia="MS Mincho"/>
        </w:rPr>
        <w:t>, dass wir als Sparkasse in der Region auch in Zukunft erfolgreich bleiben. Deshalb werden wir in den kommenden Jahren verstärkt in die Ausbildung investieren</w:t>
      </w:r>
      <w:r w:rsidR="00915998" w:rsidRPr="496A9E11">
        <w:rPr>
          <w:rFonts w:eastAsia="MS Mincho"/>
        </w:rPr>
        <w:t>.“</w:t>
      </w:r>
    </w:p>
    <w:p w14:paraId="5AAD713E" w14:textId="77777777" w:rsidR="00CD50D5" w:rsidRDefault="00CD50D5" w:rsidP="00A86124">
      <w:pPr>
        <w:spacing w:line="360" w:lineRule="auto"/>
        <w:jc w:val="both"/>
        <w:rPr>
          <w:b/>
        </w:rPr>
      </w:pPr>
    </w:p>
    <w:p w14:paraId="4D2BFCBB" w14:textId="189657A7" w:rsidR="00A86124" w:rsidRPr="00065E63" w:rsidRDefault="00A86124" w:rsidP="00A86124">
      <w:pPr>
        <w:spacing w:line="360" w:lineRule="auto"/>
        <w:jc w:val="both"/>
        <w:rPr>
          <w:b/>
        </w:rPr>
      </w:pPr>
      <w:r w:rsidRPr="00065E63">
        <w:rPr>
          <w:b/>
        </w:rPr>
        <w:t>Die wichtigsten Kennzahlen</w:t>
      </w:r>
    </w:p>
    <w:tbl>
      <w:tblPr>
        <w:tblW w:w="8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418"/>
        <w:gridCol w:w="1418"/>
      </w:tblGrid>
      <w:tr w:rsidR="00A86124" w:rsidRPr="00065E63" w14:paraId="5805B8AE" w14:textId="77777777" w:rsidTr="009638CF">
        <w:tc>
          <w:tcPr>
            <w:tcW w:w="5637" w:type="dxa"/>
            <w:shd w:val="clear" w:color="auto" w:fill="auto"/>
          </w:tcPr>
          <w:p w14:paraId="2B8B66AE" w14:textId="77777777" w:rsidR="00A86124" w:rsidRPr="00065E63" w:rsidRDefault="00A86124" w:rsidP="009638CF">
            <w:pPr>
              <w:spacing w:line="360" w:lineRule="auto"/>
              <w:jc w:val="both"/>
            </w:pPr>
          </w:p>
        </w:tc>
        <w:tc>
          <w:tcPr>
            <w:tcW w:w="1418" w:type="dxa"/>
          </w:tcPr>
          <w:p w14:paraId="1DEEE566" w14:textId="77777777" w:rsidR="00A86124" w:rsidRPr="00947377" w:rsidRDefault="00A86124" w:rsidP="009638CF">
            <w:pPr>
              <w:spacing w:line="360" w:lineRule="auto"/>
              <w:jc w:val="right"/>
              <w:rPr>
                <w:szCs w:val="22"/>
              </w:rPr>
            </w:pPr>
            <w:r w:rsidRPr="00947377">
              <w:rPr>
                <w:szCs w:val="22"/>
              </w:rPr>
              <w:t>31.12.2020</w:t>
            </w:r>
          </w:p>
        </w:tc>
        <w:tc>
          <w:tcPr>
            <w:tcW w:w="1418" w:type="dxa"/>
          </w:tcPr>
          <w:p w14:paraId="70E338C4" w14:textId="77777777" w:rsidR="00A86124" w:rsidRPr="00947377" w:rsidRDefault="00A86124" w:rsidP="009638CF">
            <w:pPr>
              <w:spacing w:line="360" w:lineRule="auto"/>
              <w:jc w:val="right"/>
              <w:rPr>
                <w:szCs w:val="22"/>
              </w:rPr>
            </w:pPr>
            <w:r w:rsidRPr="00947377">
              <w:rPr>
                <w:szCs w:val="22"/>
              </w:rPr>
              <w:t>31.12.2021</w:t>
            </w:r>
          </w:p>
        </w:tc>
      </w:tr>
      <w:tr w:rsidR="00A86124" w:rsidRPr="00065E63" w14:paraId="1B7DEF9F" w14:textId="77777777" w:rsidTr="009638CF">
        <w:tc>
          <w:tcPr>
            <w:tcW w:w="5637" w:type="dxa"/>
            <w:shd w:val="clear" w:color="auto" w:fill="auto"/>
          </w:tcPr>
          <w:p w14:paraId="6E8AC041" w14:textId="016B9DEE" w:rsidR="00A86124" w:rsidRPr="00065E63" w:rsidRDefault="00A86124" w:rsidP="009638CF">
            <w:pPr>
              <w:spacing w:line="360" w:lineRule="auto"/>
              <w:jc w:val="both"/>
            </w:pPr>
            <w:r w:rsidRPr="00065E63">
              <w:t>Bilanz</w:t>
            </w:r>
            <w:r w:rsidR="00CD50D5">
              <w:t>s</w:t>
            </w:r>
            <w:r w:rsidRPr="00065E63">
              <w:t>umme in Mio. Euro</w:t>
            </w:r>
          </w:p>
        </w:tc>
        <w:tc>
          <w:tcPr>
            <w:tcW w:w="1418" w:type="dxa"/>
          </w:tcPr>
          <w:p w14:paraId="5BFE5DAC" w14:textId="77777777" w:rsidR="00A86124" w:rsidRPr="00947377" w:rsidRDefault="00A86124" w:rsidP="009638CF">
            <w:pPr>
              <w:spacing w:line="360" w:lineRule="auto"/>
              <w:jc w:val="right"/>
              <w:rPr>
                <w:szCs w:val="22"/>
              </w:rPr>
            </w:pPr>
            <w:r w:rsidRPr="00947377">
              <w:rPr>
                <w:szCs w:val="22"/>
              </w:rPr>
              <w:t>3.944</w:t>
            </w:r>
          </w:p>
        </w:tc>
        <w:tc>
          <w:tcPr>
            <w:tcW w:w="1418" w:type="dxa"/>
          </w:tcPr>
          <w:p w14:paraId="485C643A" w14:textId="77777777" w:rsidR="00A86124" w:rsidRPr="00947377" w:rsidRDefault="00A86124" w:rsidP="009638CF">
            <w:pPr>
              <w:spacing w:line="360" w:lineRule="auto"/>
              <w:jc w:val="right"/>
              <w:rPr>
                <w:szCs w:val="22"/>
              </w:rPr>
            </w:pPr>
            <w:r w:rsidRPr="00947377">
              <w:rPr>
                <w:szCs w:val="22"/>
              </w:rPr>
              <w:t>4.188</w:t>
            </w:r>
          </w:p>
        </w:tc>
      </w:tr>
      <w:tr w:rsidR="00A86124" w:rsidRPr="00065E63" w14:paraId="2682A535" w14:textId="77777777" w:rsidTr="009638CF">
        <w:tc>
          <w:tcPr>
            <w:tcW w:w="5637" w:type="dxa"/>
            <w:shd w:val="clear" w:color="auto" w:fill="auto"/>
          </w:tcPr>
          <w:p w14:paraId="495E657A" w14:textId="77777777" w:rsidR="00A86124" w:rsidRPr="00065E63" w:rsidRDefault="00A86124" w:rsidP="009638CF">
            <w:pPr>
              <w:spacing w:line="360" w:lineRule="auto"/>
              <w:jc w:val="both"/>
            </w:pPr>
            <w:r w:rsidRPr="00065E63">
              <w:t>Gesamteinlagen in Mio. Euro</w:t>
            </w:r>
          </w:p>
        </w:tc>
        <w:tc>
          <w:tcPr>
            <w:tcW w:w="1418" w:type="dxa"/>
          </w:tcPr>
          <w:p w14:paraId="4567D46F" w14:textId="77777777" w:rsidR="00A86124" w:rsidRPr="00947377" w:rsidRDefault="00A86124" w:rsidP="009638CF">
            <w:pPr>
              <w:spacing w:line="360" w:lineRule="auto"/>
              <w:jc w:val="right"/>
              <w:rPr>
                <w:szCs w:val="22"/>
              </w:rPr>
            </w:pPr>
            <w:r w:rsidRPr="00947377">
              <w:rPr>
                <w:szCs w:val="22"/>
              </w:rPr>
              <w:t>3.033</w:t>
            </w:r>
          </w:p>
        </w:tc>
        <w:tc>
          <w:tcPr>
            <w:tcW w:w="1418" w:type="dxa"/>
          </w:tcPr>
          <w:p w14:paraId="3B4D7B5E" w14:textId="77777777" w:rsidR="00A86124" w:rsidRPr="00947377" w:rsidRDefault="00A86124" w:rsidP="009638CF">
            <w:pPr>
              <w:spacing w:line="360" w:lineRule="auto"/>
              <w:jc w:val="right"/>
              <w:rPr>
                <w:szCs w:val="22"/>
              </w:rPr>
            </w:pPr>
            <w:r w:rsidRPr="00947377">
              <w:rPr>
                <w:szCs w:val="22"/>
              </w:rPr>
              <w:t>3.199</w:t>
            </w:r>
          </w:p>
        </w:tc>
      </w:tr>
      <w:tr w:rsidR="00A86124" w:rsidRPr="00065E63" w14:paraId="5B35B9E0" w14:textId="77777777" w:rsidTr="009638CF">
        <w:tc>
          <w:tcPr>
            <w:tcW w:w="5637" w:type="dxa"/>
            <w:shd w:val="clear" w:color="auto" w:fill="auto"/>
          </w:tcPr>
          <w:p w14:paraId="7D08B6D8" w14:textId="77777777" w:rsidR="00A86124" w:rsidRPr="00065E63" w:rsidRDefault="00A86124" w:rsidP="009638CF">
            <w:pPr>
              <w:spacing w:line="360" w:lineRule="auto"/>
              <w:jc w:val="both"/>
            </w:pPr>
            <w:r w:rsidRPr="00065E63">
              <w:t>Kundenkreditvolumen in Mio. Euro</w:t>
            </w:r>
          </w:p>
        </w:tc>
        <w:tc>
          <w:tcPr>
            <w:tcW w:w="1418" w:type="dxa"/>
          </w:tcPr>
          <w:p w14:paraId="525B7F71" w14:textId="77777777" w:rsidR="00A86124" w:rsidRPr="00947377" w:rsidRDefault="00A86124" w:rsidP="009638CF">
            <w:pPr>
              <w:spacing w:line="360" w:lineRule="auto"/>
              <w:jc w:val="right"/>
              <w:rPr>
                <w:szCs w:val="22"/>
              </w:rPr>
            </w:pPr>
            <w:r w:rsidRPr="00947377">
              <w:rPr>
                <w:szCs w:val="22"/>
              </w:rPr>
              <w:t>2.807</w:t>
            </w:r>
          </w:p>
        </w:tc>
        <w:tc>
          <w:tcPr>
            <w:tcW w:w="1418" w:type="dxa"/>
          </w:tcPr>
          <w:p w14:paraId="1B34FF60" w14:textId="77777777" w:rsidR="00A86124" w:rsidRPr="00947377" w:rsidRDefault="00A86124" w:rsidP="009638CF">
            <w:pPr>
              <w:spacing w:line="360" w:lineRule="auto"/>
              <w:jc w:val="right"/>
              <w:rPr>
                <w:szCs w:val="22"/>
              </w:rPr>
            </w:pPr>
            <w:r w:rsidRPr="00947377">
              <w:rPr>
                <w:szCs w:val="22"/>
              </w:rPr>
              <w:t>2.964</w:t>
            </w:r>
          </w:p>
        </w:tc>
      </w:tr>
      <w:tr w:rsidR="00A86124" w:rsidRPr="00065E63" w14:paraId="2B69BAC2" w14:textId="77777777" w:rsidTr="009638CF">
        <w:tc>
          <w:tcPr>
            <w:tcW w:w="5637" w:type="dxa"/>
            <w:shd w:val="clear" w:color="auto" w:fill="auto"/>
          </w:tcPr>
          <w:p w14:paraId="3728A276" w14:textId="77777777" w:rsidR="00A86124" w:rsidRPr="00065E63" w:rsidRDefault="00A86124" w:rsidP="009638CF">
            <w:pPr>
              <w:spacing w:line="360" w:lineRule="auto"/>
              <w:jc w:val="both"/>
            </w:pPr>
            <w:r w:rsidRPr="00065E63">
              <w:t>Gesamtkapitalquote in %</w:t>
            </w:r>
          </w:p>
        </w:tc>
        <w:tc>
          <w:tcPr>
            <w:tcW w:w="1418" w:type="dxa"/>
          </w:tcPr>
          <w:p w14:paraId="2CED6BC6" w14:textId="77777777" w:rsidR="00A86124" w:rsidRPr="00947377" w:rsidRDefault="00A86124" w:rsidP="009638CF">
            <w:pPr>
              <w:spacing w:line="360" w:lineRule="auto"/>
              <w:jc w:val="right"/>
              <w:rPr>
                <w:szCs w:val="22"/>
              </w:rPr>
            </w:pPr>
            <w:r w:rsidRPr="00947377">
              <w:rPr>
                <w:szCs w:val="22"/>
              </w:rPr>
              <w:t>16,8</w:t>
            </w:r>
          </w:p>
        </w:tc>
        <w:tc>
          <w:tcPr>
            <w:tcW w:w="1418" w:type="dxa"/>
          </w:tcPr>
          <w:p w14:paraId="2B4C5BC7" w14:textId="77777777" w:rsidR="00A86124" w:rsidRPr="00947377" w:rsidRDefault="00A86124" w:rsidP="009638CF">
            <w:pPr>
              <w:spacing w:line="360" w:lineRule="auto"/>
              <w:jc w:val="right"/>
              <w:rPr>
                <w:szCs w:val="22"/>
              </w:rPr>
            </w:pPr>
            <w:r w:rsidRPr="00947377">
              <w:rPr>
                <w:szCs w:val="22"/>
              </w:rPr>
              <w:t>16,3</w:t>
            </w:r>
          </w:p>
        </w:tc>
      </w:tr>
      <w:tr w:rsidR="00A86124" w:rsidRPr="00065E63" w14:paraId="200C8E9D" w14:textId="77777777" w:rsidTr="009638CF">
        <w:tc>
          <w:tcPr>
            <w:tcW w:w="5637" w:type="dxa"/>
            <w:shd w:val="clear" w:color="auto" w:fill="auto"/>
          </w:tcPr>
          <w:p w14:paraId="122E79AC" w14:textId="77777777" w:rsidR="00A86124" w:rsidRPr="00065E63" w:rsidRDefault="00A86124" w:rsidP="009638CF">
            <w:pPr>
              <w:spacing w:line="360" w:lineRule="auto"/>
              <w:jc w:val="both"/>
            </w:pPr>
            <w:r w:rsidRPr="00065E63">
              <w:t>Bilanzgewinn in Mio. Euro</w:t>
            </w:r>
          </w:p>
        </w:tc>
        <w:tc>
          <w:tcPr>
            <w:tcW w:w="1418" w:type="dxa"/>
          </w:tcPr>
          <w:p w14:paraId="1BFE831E" w14:textId="77777777" w:rsidR="00A86124" w:rsidRPr="00947377" w:rsidRDefault="00A86124" w:rsidP="009638CF">
            <w:pPr>
              <w:spacing w:line="360" w:lineRule="auto"/>
              <w:jc w:val="right"/>
              <w:rPr>
                <w:szCs w:val="22"/>
              </w:rPr>
            </w:pPr>
            <w:r w:rsidRPr="00947377">
              <w:rPr>
                <w:szCs w:val="22"/>
              </w:rPr>
              <w:t>3,3</w:t>
            </w:r>
          </w:p>
        </w:tc>
        <w:tc>
          <w:tcPr>
            <w:tcW w:w="1418" w:type="dxa"/>
          </w:tcPr>
          <w:p w14:paraId="0DF8E241" w14:textId="77777777" w:rsidR="00A86124" w:rsidRPr="00947377" w:rsidRDefault="00A86124" w:rsidP="009638CF">
            <w:pPr>
              <w:spacing w:line="360" w:lineRule="auto"/>
              <w:jc w:val="right"/>
              <w:rPr>
                <w:szCs w:val="22"/>
              </w:rPr>
            </w:pPr>
            <w:r w:rsidRPr="00947377">
              <w:rPr>
                <w:szCs w:val="22"/>
              </w:rPr>
              <w:t>3,5</w:t>
            </w:r>
          </w:p>
        </w:tc>
      </w:tr>
      <w:tr w:rsidR="00A86124" w:rsidRPr="00065E63" w14:paraId="246FA7D2" w14:textId="77777777" w:rsidTr="009638CF">
        <w:tc>
          <w:tcPr>
            <w:tcW w:w="5637" w:type="dxa"/>
            <w:shd w:val="clear" w:color="auto" w:fill="auto"/>
          </w:tcPr>
          <w:p w14:paraId="1CC7DCF4" w14:textId="77777777" w:rsidR="00A86124" w:rsidRPr="00065E63" w:rsidRDefault="00A86124" w:rsidP="009638CF">
            <w:pPr>
              <w:spacing w:line="360" w:lineRule="auto"/>
              <w:jc w:val="both"/>
            </w:pPr>
            <w:r w:rsidRPr="00065E63">
              <w:t>Cost-Income-Ratio in %</w:t>
            </w:r>
          </w:p>
        </w:tc>
        <w:tc>
          <w:tcPr>
            <w:tcW w:w="1418" w:type="dxa"/>
          </w:tcPr>
          <w:p w14:paraId="3A742DCB" w14:textId="77777777" w:rsidR="00A86124" w:rsidRPr="00947377" w:rsidRDefault="00A86124" w:rsidP="009638CF">
            <w:pPr>
              <w:spacing w:line="360" w:lineRule="auto"/>
              <w:jc w:val="right"/>
              <w:rPr>
                <w:szCs w:val="22"/>
              </w:rPr>
            </w:pPr>
            <w:r w:rsidRPr="00947377">
              <w:rPr>
                <w:szCs w:val="22"/>
              </w:rPr>
              <w:t>61,8</w:t>
            </w:r>
          </w:p>
        </w:tc>
        <w:tc>
          <w:tcPr>
            <w:tcW w:w="1418" w:type="dxa"/>
          </w:tcPr>
          <w:p w14:paraId="160DA495" w14:textId="77777777" w:rsidR="00A86124" w:rsidRPr="00947377" w:rsidRDefault="00A86124" w:rsidP="009638CF">
            <w:pPr>
              <w:spacing w:line="360" w:lineRule="auto"/>
              <w:jc w:val="right"/>
              <w:rPr>
                <w:szCs w:val="22"/>
              </w:rPr>
            </w:pPr>
            <w:r w:rsidRPr="00947377">
              <w:rPr>
                <w:szCs w:val="22"/>
              </w:rPr>
              <w:t>59,0</w:t>
            </w:r>
          </w:p>
        </w:tc>
      </w:tr>
      <w:tr w:rsidR="00A86124" w:rsidRPr="00065E63" w14:paraId="4856D663" w14:textId="77777777" w:rsidTr="009638CF">
        <w:tc>
          <w:tcPr>
            <w:tcW w:w="5637" w:type="dxa"/>
            <w:shd w:val="clear" w:color="auto" w:fill="auto"/>
          </w:tcPr>
          <w:p w14:paraId="6A85E5E6" w14:textId="77777777" w:rsidR="00A86124" w:rsidRPr="00065E63" w:rsidRDefault="00A86124" w:rsidP="009638CF">
            <w:pPr>
              <w:spacing w:line="360" w:lineRule="auto"/>
              <w:jc w:val="both"/>
            </w:pPr>
            <w:r w:rsidRPr="00065E63">
              <w:lastRenderedPageBreak/>
              <w:t>Mitarbeiter</w:t>
            </w:r>
          </w:p>
        </w:tc>
        <w:tc>
          <w:tcPr>
            <w:tcW w:w="1418" w:type="dxa"/>
          </w:tcPr>
          <w:p w14:paraId="2DD194C1" w14:textId="77777777" w:rsidR="00A86124" w:rsidRPr="00947377" w:rsidRDefault="00A86124" w:rsidP="009638CF">
            <w:pPr>
              <w:spacing w:line="360" w:lineRule="auto"/>
              <w:jc w:val="right"/>
              <w:rPr>
                <w:szCs w:val="22"/>
              </w:rPr>
            </w:pPr>
            <w:r w:rsidRPr="00947377">
              <w:rPr>
                <w:szCs w:val="22"/>
              </w:rPr>
              <w:t>489</w:t>
            </w:r>
          </w:p>
        </w:tc>
        <w:tc>
          <w:tcPr>
            <w:tcW w:w="1418" w:type="dxa"/>
          </w:tcPr>
          <w:p w14:paraId="5C446EAD" w14:textId="77777777" w:rsidR="00A86124" w:rsidRPr="00947377" w:rsidRDefault="00A86124" w:rsidP="009638CF">
            <w:pPr>
              <w:spacing w:line="360" w:lineRule="auto"/>
              <w:jc w:val="right"/>
              <w:rPr>
                <w:szCs w:val="22"/>
              </w:rPr>
            </w:pPr>
            <w:r w:rsidRPr="00947377">
              <w:rPr>
                <w:szCs w:val="22"/>
              </w:rPr>
              <w:t>474</w:t>
            </w:r>
          </w:p>
        </w:tc>
      </w:tr>
      <w:tr w:rsidR="00A86124" w:rsidRPr="0077317E" w14:paraId="648FB9F3" w14:textId="77777777" w:rsidTr="009638CF">
        <w:tc>
          <w:tcPr>
            <w:tcW w:w="5637" w:type="dxa"/>
            <w:shd w:val="clear" w:color="auto" w:fill="auto"/>
          </w:tcPr>
          <w:p w14:paraId="466B7140" w14:textId="77777777" w:rsidR="00A86124" w:rsidRPr="00065E63" w:rsidRDefault="00A86124" w:rsidP="009638CF">
            <w:pPr>
              <w:spacing w:line="360" w:lineRule="auto"/>
              <w:jc w:val="both"/>
            </w:pPr>
            <w:r w:rsidRPr="00065E63">
              <w:t>Geschäftsstellen</w:t>
            </w:r>
          </w:p>
        </w:tc>
        <w:tc>
          <w:tcPr>
            <w:tcW w:w="1418" w:type="dxa"/>
          </w:tcPr>
          <w:p w14:paraId="22E48390" w14:textId="77777777" w:rsidR="00A86124" w:rsidRPr="00947377" w:rsidRDefault="00A86124" w:rsidP="009638CF">
            <w:pPr>
              <w:spacing w:line="360" w:lineRule="auto"/>
              <w:jc w:val="right"/>
              <w:rPr>
                <w:szCs w:val="22"/>
              </w:rPr>
            </w:pPr>
            <w:r w:rsidRPr="00947377">
              <w:rPr>
                <w:szCs w:val="22"/>
              </w:rPr>
              <w:t>18</w:t>
            </w:r>
          </w:p>
        </w:tc>
        <w:tc>
          <w:tcPr>
            <w:tcW w:w="1418" w:type="dxa"/>
          </w:tcPr>
          <w:p w14:paraId="3397E096" w14:textId="77777777" w:rsidR="00A86124" w:rsidRPr="00947377" w:rsidDel="00DA2A7A" w:rsidRDefault="00A86124" w:rsidP="009638CF">
            <w:pPr>
              <w:spacing w:line="360" w:lineRule="auto"/>
              <w:jc w:val="right"/>
              <w:rPr>
                <w:szCs w:val="22"/>
              </w:rPr>
            </w:pPr>
            <w:r w:rsidRPr="00947377">
              <w:rPr>
                <w:szCs w:val="22"/>
              </w:rPr>
              <w:t>18</w:t>
            </w:r>
          </w:p>
        </w:tc>
      </w:tr>
    </w:tbl>
    <w:p w14:paraId="416B1B21" w14:textId="78DD88D9" w:rsidR="00670180" w:rsidRDefault="00A86124" w:rsidP="00E75A06">
      <w:pPr>
        <w:rPr>
          <w:rFonts w:eastAsia="MS Mincho"/>
        </w:rPr>
      </w:pPr>
      <w:r w:rsidRPr="0077317E">
        <w:t>Quelle: Bilanzstatistik</w:t>
      </w:r>
      <w:r>
        <w:br/>
      </w:r>
    </w:p>
    <w:p w14:paraId="3BE068E8" w14:textId="54B1A619" w:rsidR="009B7D66" w:rsidRDefault="009B7D66" w:rsidP="00E75A06">
      <w:pPr>
        <w:rPr>
          <w:rFonts w:eastAsia="MS Mincho"/>
        </w:rPr>
      </w:pPr>
      <w:r>
        <w:rPr>
          <w:rFonts w:eastAsia="MS Mincho"/>
          <w:noProof/>
        </w:rPr>
        <w:drawing>
          <wp:inline distT="0" distB="0" distL="0" distR="0" wp14:anchorId="3E3DE533" wp14:editId="0273E98D">
            <wp:extent cx="4175760" cy="27470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5760" cy="2747010"/>
                    </a:xfrm>
                    <a:prstGeom prst="rect">
                      <a:avLst/>
                    </a:prstGeom>
                  </pic:spPr>
                </pic:pic>
              </a:graphicData>
            </a:graphic>
          </wp:inline>
        </w:drawing>
      </w:r>
    </w:p>
    <w:p w14:paraId="329FF3DE" w14:textId="77777777" w:rsidR="009B7D66" w:rsidRDefault="009B7D66" w:rsidP="009B7D66">
      <w:pPr>
        <w:spacing w:line="276" w:lineRule="auto"/>
        <w:ind w:right="55"/>
        <w:rPr>
          <w:rFonts w:cs="Arial"/>
          <w:sz w:val="17"/>
          <w:szCs w:val="17"/>
        </w:rPr>
      </w:pPr>
      <w:r w:rsidRPr="002269E9">
        <w:rPr>
          <w:rFonts w:cs="Arial"/>
          <w:b/>
          <w:bCs/>
          <w:sz w:val="17"/>
          <w:szCs w:val="17"/>
        </w:rPr>
        <w:t>Bildunterschrift:</w:t>
      </w:r>
      <w:r w:rsidRPr="002269E9">
        <w:rPr>
          <w:rFonts w:cs="Arial"/>
          <w:sz w:val="17"/>
          <w:szCs w:val="17"/>
        </w:rPr>
        <w:br/>
      </w:r>
      <w:r>
        <w:rPr>
          <w:rFonts w:cs="Arial"/>
          <w:sz w:val="17"/>
          <w:szCs w:val="17"/>
        </w:rPr>
        <w:t xml:space="preserve">Anlässlich der Bilanzpressekonferenz blickte der Vorstand der Sparkasse Schwaben-Bodensee auf ein erfolgreiches Geschäftsjahr 2021 zurück. Für künftige Herausforderung ist die Sparkasse nach der Fusion gut aufgestellt. </w:t>
      </w:r>
    </w:p>
    <w:p w14:paraId="3D5B55E7" w14:textId="77777777" w:rsidR="009B7D66" w:rsidRDefault="009B7D66" w:rsidP="009B7D66">
      <w:pPr>
        <w:spacing w:line="276" w:lineRule="auto"/>
        <w:ind w:right="55"/>
        <w:rPr>
          <w:rFonts w:cs="Arial"/>
          <w:sz w:val="17"/>
          <w:szCs w:val="17"/>
        </w:rPr>
      </w:pPr>
      <w:r>
        <w:rPr>
          <w:rFonts w:cs="Arial"/>
          <w:sz w:val="17"/>
          <w:szCs w:val="17"/>
        </w:rPr>
        <w:t>Von links nach rechts</w:t>
      </w:r>
      <w:r w:rsidRPr="007864EE">
        <w:rPr>
          <w:rFonts w:cs="Arial"/>
          <w:sz w:val="17"/>
          <w:szCs w:val="17"/>
        </w:rPr>
        <w:t>: Dr. Wolfgang Zettl, Bernd Fischer, Thomas Munding (Vorstandsvorsitzender), Horst Schönfeld (stellvertretender Vorstandsvorsitzender), Harald Post.</w:t>
      </w:r>
    </w:p>
    <w:p w14:paraId="73FB58FB" w14:textId="77777777" w:rsidR="009B7D66" w:rsidRDefault="009B7D66" w:rsidP="009B7D66">
      <w:pPr>
        <w:spacing w:line="276" w:lineRule="auto"/>
        <w:ind w:right="55"/>
        <w:rPr>
          <w:rFonts w:eastAsia="MS Mincho"/>
          <w:b/>
          <w:bCs/>
          <w:sz w:val="17"/>
          <w:szCs w:val="17"/>
        </w:rPr>
      </w:pPr>
      <w:r w:rsidRPr="002269E9">
        <w:rPr>
          <w:rFonts w:cs="Arial"/>
          <w:b/>
          <w:bCs/>
          <w:sz w:val="17"/>
          <w:szCs w:val="17"/>
        </w:rPr>
        <w:t>Bildrechte:</w:t>
      </w:r>
      <w:r w:rsidRPr="002269E9">
        <w:rPr>
          <w:rFonts w:cs="Arial"/>
          <w:sz w:val="17"/>
          <w:szCs w:val="17"/>
        </w:rPr>
        <w:t xml:space="preserve"> </w:t>
      </w:r>
      <w:r>
        <w:rPr>
          <w:rFonts w:cs="Arial"/>
          <w:sz w:val="17"/>
          <w:szCs w:val="17"/>
        </w:rPr>
        <w:br/>
        <w:t>Sparkasse Schwaben-Bodensee</w:t>
      </w:r>
    </w:p>
    <w:p w14:paraId="2E47DC23" w14:textId="0CA1F35C" w:rsidR="0053215D" w:rsidRDefault="0053215D" w:rsidP="00E75A06">
      <w:pPr>
        <w:rPr>
          <w:rFonts w:eastAsia="MS Mincho"/>
        </w:rPr>
      </w:pPr>
    </w:p>
    <w:p w14:paraId="2C93EB68" w14:textId="5D2E94A3" w:rsidR="0053215D" w:rsidRPr="0053215D" w:rsidRDefault="0053215D" w:rsidP="007D6215">
      <w:pPr>
        <w:spacing w:line="240" w:lineRule="auto"/>
        <w:rPr>
          <w:rFonts w:eastAsia="MS Mincho"/>
          <w:b/>
          <w:bCs/>
          <w:sz w:val="17"/>
          <w:szCs w:val="17"/>
        </w:rPr>
      </w:pPr>
      <w:bookmarkStart w:id="0" w:name="_Hlk96676180"/>
      <w:r w:rsidRPr="0053215D">
        <w:rPr>
          <w:rFonts w:eastAsia="MS Mincho"/>
          <w:b/>
          <w:bCs/>
          <w:sz w:val="17"/>
          <w:szCs w:val="17"/>
        </w:rPr>
        <w:lastRenderedPageBreak/>
        <w:t>Über die Sparkasse Schwaben-Bodensee</w:t>
      </w:r>
    </w:p>
    <w:p w14:paraId="12F2203F" w14:textId="77777777" w:rsidR="00503838" w:rsidRPr="00503838" w:rsidRDefault="00503838" w:rsidP="00503838">
      <w:pPr>
        <w:spacing w:line="240" w:lineRule="auto"/>
        <w:rPr>
          <w:rFonts w:eastAsia="MS Mincho"/>
          <w:sz w:val="17"/>
          <w:szCs w:val="17"/>
        </w:rPr>
      </w:pPr>
      <w:r w:rsidRPr="00503838">
        <w:rPr>
          <w:rFonts w:eastAsia="MS Mincho"/>
          <w:sz w:val="17"/>
          <w:szCs w:val="17"/>
        </w:rPr>
        <w:t>Die Sparkasse Schwaben-Bodensee, entstanden 2022 aus der Fusion der Sparkasse Memmingen-Lindau-Mindelheim und der Kreissparkasse Augsburg, übernimmt Verantwortung für Menschen in allen Lebensphasen. Mit nachhaltigen Lösungen und der kompletten Bandbreite an Finanzdienstleistungen bieten wir unseren Kunden – Privat-, Unternehmens- und kommunalen Kunden – innovative Möglichkeiten in allen Geldangelegenheiten. Als selbstständiges Wirtschaftsunternehmen in kommunaler Trägerschaft des „Zweckverbandes Sparkasse Schwaben-Bodensee“ haben wir uns dem Gemeinwohl verschrieben und stehen seit 1824 für Vertrauen sowie Qualität in Beratung und Service.</w:t>
      </w:r>
    </w:p>
    <w:p w14:paraId="338B549D" w14:textId="0F8DE718" w:rsidR="007D6215" w:rsidRPr="0053215D" w:rsidRDefault="00503838" w:rsidP="007D6215">
      <w:pPr>
        <w:spacing w:line="240" w:lineRule="auto"/>
        <w:rPr>
          <w:rFonts w:eastAsia="MS Mincho"/>
          <w:sz w:val="17"/>
          <w:szCs w:val="17"/>
        </w:rPr>
      </w:pPr>
      <w:r w:rsidRPr="00503838">
        <w:rPr>
          <w:rFonts w:eastAsia="MS Mincho"/>
          <w:sz w:val="17"/>
          <w:szCs w:val="17"/>
        </w:rPr>
        <w:t>Mit einer Bilanzsumme von 9,5 Milliarden Euro und 1.123 Mitarbeitenden (per 31.12.2021) ist die Sparkasse Schwaben-Bodensee ein bedeutender Wirtschaftsfaktor und Arbeitgeber in ihrem Geschäftsgebiet. Neben 58 Geschäftsstellen, 52 Selbstbedienungsstellen sowie 145 Geldautomaten (Werte per 01.01.2022) steht sie ihren Kunden beim Online-Banking, mit digitaler Beratung in der Internet-Filiale und durch telefonische Serviceleistungen rund um die Uhr zur Verfügung. Unsere Verantwortung für Menschen zeigen wir auch in der Förderung von Kultur, Sport, Umwelt und Sozialem über Spenden, Sponsoring und ehrenamtliches Engagement.</w:t>
      </w:r>
    </w:p>
    <w:bookmarkEnd w:id="0"/>
    <w:p w14:paraId="338B54A0"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 xml:space="preserve">Unternehmenskontakt: </w:t>
      </w:r>
    </w:p>
    <w:p w14:paraId="338B54A1" w14:textId="77777777" w:rsidR="00626932" w:rsidRPr="007D6215" w:rsidRDefault="00626932" w:rsidP="00626932">
      <w:pPr>
        <w:spacing w:line="240" w:lineRule="auto"/>
        <w:contextualSpacing/>
        <w:rPr>
          <w:rFonts w:eastAsia="MS Mincho"/>
          <w:sz w:val="17"/>
          <w:szCs w:val="17"/>
        </w:rPr>
      </w:pPr>
    </w:p>
    <w:p w14:paraId="338B54A2" w14:textId="77777777" w:rsidR="00626932" w:rsidRPr="007D6215" w:rsidRDefault="00AC6BAC" w:rsidP="00626932">
      <w:pPr>
        <w:spacing w:line="240" w:lineRule="auto"/>
        <w:contextualSpacing/>
        <w:rPr>
          <w:rFonts w:eastAsia="MS Mincho"/>
          <w:sz w:val="17"/>
          <w:szCs w:val="17"/>
        </w:rPr>
      </w:pPr>
      <w:r>
        <w:rPr>
          <w:rFonts w:eastAsia="MS Mincho"/>
          <w:sz w:val="17"/>
          <w:szCs w:val="17"/>
        </w:rPr>
        <w:t xml:space="preserve">Sparkasse Schwaben-Bodensee </w:t>
      </w:r>
    </w:p>
    <w:p w14:paraId="338B54A3"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Pfeffinger </w:t>
      </w:r>
    </w:p>
    <w:p w14:paraId="338B54A4" w14:textId="77777777" w:rsidR="00626932" w:rsidRPr="007D6215" w:rsidRDefault="00626932" w:rsidP="00626932">
      <w:pPr>
        <w:spacing w:line="240" w:lineRule="auto"/>
        <w:contextualSpacing/>
        <w:rPr>
          <w:rFonts w:eastAsia="MS Mincho"/>
          <w:sz w:val="17"/>
          <w:szCs w:val="17"/>
        </w:rPr>
      </w:pPr>
    </w:p>
    <w:p w14:paraId="338B54A5" w14:textId="7BF5A36B" w:rsidR="00626932" w:rsidRPr="007D6215" w:rsidRDefault="00AC6BAC" w:rsidP="00626932">
      <w:pPr>
        <w:spacing w:line="240" w:lineRule="auto"/>
        <w:contextualSpacing/>
        <w:rPr>
          <w:rFonts w:eastAsia="MS Mincho"/>
          <w:sz w:val="17"/>
          <w:szCs w:val="17"/>
        </w:rPr>
      </w:pPr>
      <w:r w:rsidRPr="00AC6BAC">
        <w:rPr>
          <w:rFonts w:eastAsia="MS Mincho"/>
          <w:sz w:val="17"/>
          <w:szCs w:val="17"/>
        </w:rPr>
        <w:t>St.</w:t>
      </w:r>
      <w:r w:rsidR="006B7969">
        <w:rPr>
          <w:rFonts w:eastAsia="MS Mincho"/>
          <w:sz w:val="17"/>
          <w:szCs w:val="17"/>
        </w:rPr>
        <w:t>-</w:t>
      </w:r>
      <w:r w:rsidRPr="00AC6BAC">
        <w:rPr>
          <w:rFonts w:eastAsia="MS Mincho"/>
          <w:sz w:val="17"/>
          <w:szCs w:val="17"/>
        </w:rPr>
        <w:t>Josefs-Kirchplatz 6-8</w:t>
      </w:r>
      <w:r w:rsidRPr="00AC6BAC">
        <w:rPr>
          <w:rFonts w:eastAsia="MS Mincho"/>
          <w:sz w:val="17"/>
          <w:szCs w:val="17"/>
        </w:rPr>
        <w:br/>
        <w:t>87700 Memmingen</w:t>
      </w:r>
    </w:p>
    <w:p w14:paraId="338B54A6" w14:textId="77777777" w:rsidR="00626932" w:rsidRPr="007D6215" w:rsidRDefault="00626932" w:rsidP="00626932">
      <w:pPr>
        <w:spacing w:line="240" w:lineRule="auto"/>
        <w:contextualSpacing/>
        <w:rPr>
          <w:rFonts w:eastAsia="MS Mincho"/>
          <w:sz w:val="17"/>
          <w:szCs w:val="17"/>
        </w:rPr>
      </w:pPr>
    </w:p>
    <w:p w14:paraId="338B54A7" w14:textId="2C093BC5"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41 488</w:t>
      </w:r>
    </w:p>
    <w:p w14:paraId="338B54A8"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338B54A9"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338B54AA"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338B54AB" w14:textId="77777777" w:rsidR="00626932" w:rsidRPr="007D6215" w:rsidRDefault="00626932" w:rsidP="00626932">
      <w:pPr>
        <w:spacing w:line="240" w:lineRule="auto"/>
        <w:contextualSpacing/>
        <w:rPr>
          <w:rFonts w:eastAsia="MS Mincho"/>
          <w:b/>
          <w:bCs/>
          <w:sz w:val="17"/>
          <w:szCs w:val="17"/>
        </w:rPr>
      </w:pPr>
    </w:p>
    <w:p w14:paraId="338B54AC"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338B54AD" w14:textId="12ACE2FE" w:rsidR="00626932" w:rsidRPr="007D6215" w:rsidRDefault="00670180" w:rsidP="00626932">
      <w:pPr>
        <w:spacing w:line="240" w:lineRule="auto"/>
        <w:contextualSpacing/>
        <w:rPr>
          <w:rFonts w:eastAsia="MS Mincho"/>
          <w:sz w:val="17"/>
          <w:szCs w:val="17"/>
        </w:rPr>
      </w:pPr>
      <w:r>
        <w:rPr>
          <w:rFonts w:eastAsia="MS Mincho"/>
          <w:sz w:val="17"/>
          <w:szCs w:val="17"/>
        </w:rPr>
        <w:t>Elke Thiergärtner</w:t>
      </w:r>
    </w:p>
    <w:p w14:paraId="338B54A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338B54AF"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338B54B0" w14:textId="77777777" w:rsidR="00626932" w:rsidRPr="008B2282" w:rsidRDefault="00626932" w:rsidP="00626932">
      <w:pPr>
        <w:spacing w:line="240" w:lineRule="auto"/>
        <w:contextualSpacing/>
        <w:rPr>
          <w:rFonts w:eastAsia="MS Mincho"/>
          <w:sz w:val="17"/>
          <w:szCs w:val="17"/>
        </w:rPr>
      </w:pPr>
    </w:p>
    <w:p w14:paraId="338B54B1" w14:textId="702C8008"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w:t>
      </w:r>
      <w:r w:rsidR="00670180">
        <w:rPr>
          <w:rFonts w:eastAsia="MS Mincho"/>
          <w:sz w:val="17"/>
          <w:szCs w:val="17"/>
        </w:rPr>
        <w:t>2</w:t>
      </w:r>
    </w:p>
    <w:p w14:paraId="338B54B2" w14:textId="2D53E86C" w:rsidR="00626932" w:rsidRPr="00741877" w:rsidRDefault="00626932" w:rsidP="00626932">
      <w:pPr>
        <w:spacing w:line="240" w:lineRule="auto"/>
        <w:contextualSpacing/>
        <w:rPr>
          <w:rFonts w:eastAsia="MS Mincho"/>
          <w:sz w:val="17"/>
          <w:szCs w:val="17"/>
        </w:rPr>
      </w:pPr>
      <w:r w:rsidRPr="00741877">
        <w:rPr>
          <w:rFonts w:eastAsia="MS Mincho"/>
          <w:sz w:val="17"/>
          <w:szCs w:val="17"/>
        </w:rPr>
        <w:t xml:space="preserve">E-Mail: </w:t>
      </w:r>
      <w:r w:rsidR="00670180">
        <w:rPr>
          <w:rFonts w:eastAsia="MS Mincho"/>
          <w:sz w:val="17"/>
          <w:szCs w:val="17"/>
        </w:rPr>
        <w:t>et</w:t>
      </w:r>
      <w:r w:rsidRPr="00741877">
        <w:rPr>
          <w:rFonts w:eastAsia="MS Mincho"/>
          <w:sz w:val="17"/>
          <w:szCs w:val="17"/>
        </w:rPr>
        <w:t>@epr-online.de</w:t>
      </w:r>
    </w:p>
    <w:p w14:paraId="338B54B3"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338B54B4" w14:textId="77777777" w:rsidR="00E75A06" w:rsidRPr="007D6215" w:rsidRDefault="00E75A06">
      <w:pPr>
        <w:rPr>
          <w:lang w:val="en-US"/>
        </w:rPr>
      </w:pPr>
    </w:p>
    <w:sectPr w:rsidR="00E75A06" w:rsidRPr="007D6215" w:rsidSect="00E75A06">
      <w:headerReference w:type="default" r:id="rId11"/>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431D" w14:textId="77777777" w:rsidR="0062027B" w:rsidRDefault="0062027B" w:rsidP="00E75A06">
      <w:pPr>
        <w:spacing w:after="0" w:line="240" w:lineRule="auto"/>
      </w:pPr>
      <w:r>
        <w:separator/>
      </w:r>
    </w:p>
  </w:endnote>
  <w:endnote w:type="continuationSeparator" w:id="0">
    <w:p w14:paraId="6469C4B9" w14:textId="77777777" w:rsidR="0062027B" w:rsidRDefault="0062027B" w:rsidP="00E75A06">
      <w:pPr>
        <w:spacing w:after="0" w:line="240" w:lineRule="auto"/>
      </w:pPr>
      <w:r>
        <w:continuationSeparator/>
      </w:r>
    </w:p>
  </w:endnote>
  <w:endnote w:type="continuationNotice" w:id="1">
    <w:p w14:paraId="2B595B1F" w14:textId="77777777" w:rsidR="0062027B" w:rsidRDefault="00620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Arial"/>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44BF9" w14:textId="77777777" w:rsidR="0062027B" w:rsidRDefault="0062027B" w:rsidP="00E75A06">
      <w:pPr>
        <w:spacing w:after="0" w:line="240" w:lineRule="auto"/>
      </w:pPr>
      <w:r>
        <w:separator/>
      </w:r>
    </w:p>
  </w:footnote>
  <w:footnote w:type="continuationSeparator" w:id="0">
    <w:p w14:paraId="3FCF6F46" w14:textId="77777777" w:rsidR="0062027B" w:rsidRDefault="0062027B" w:rsidP="00E75A06">
      <w:pPr>
        <w:spacing w:after="0" w:line="240" w:lineRule="auto"/>
      </w:pPr>
      <w:r>
        <w:continuationSeparator/>
      </w:r>
    </w:p>
  </w:footnote>
  <w:footnote w:type="continuationNotice" w:id="1">
    <w:p w14:paraId="766D0BD8" w14:textId="77777777" w:rsidR="0062027B" w:rsidRDefault="006202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54B9" w14:textId="77777777" w:rsidR="00E75A06" w:rsidRDefault="004D5829">
    <w:pPr>
      <w:pStyle w:val="Kopfzeile"/>
    </w:pPr>
    <w:r>
      <w:rPr>
        <w:noProof/>
      </w:rPr>
      <w:drawing>
        <wp:inline distT="0" distB="0" distL="0" distR="0" wp14:anchorId="338B54BF" wp14:editId="338B54C0">
          <wp:extent cx="4175760" cy="13696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rkasse-schwaben-bodensee-rot.jpg"/>
                  <pic:cNvPicPr/>
                </pic:nvPicPr>
                <pic:blipFill>
                  <a:blip r:embed="rId1">
                    <a:extLst>
                      <a:ext uri="{28A0092B-C50C-407E-A947-70E740481C1C}">
                        <a14:useLocalDpi xmlns:a14="http://schemas.microsoft.com/office/drawing/2010/main" val="0"/>
                      </a:ext>
                    </a:extLst>
                  </a:blip>
                  <a:stretch>
                    <a:fillRect/>
                  </a:stretch>
                </pic:blipFill>
                <pic:spPr>
                  <a:xfrm>
                    <a:off x="0" y="0"/>
                    <a:ext cx="4175760" cy="1369695"/>
                  </a:xfrm>
                  <a:prstGeom prst="rect">
                    <a:avLst/>
                  </a:prstGeom>
                </pic:spPr>
              </pic:pic>
            </a:graphicData>
          </a:graphic>
        </wp:inline>
      </w:drawing>
    </w:r>
  </w:p>
  <w:p w14:paraId="338B54BA" w14:textId="77777777" w:rsidR="00E75A06" w:rsidRDefault="00E75A06">
    <w:pPr>
      <w:pStyle w:val="Kopfzeile"/>
    </w:pPr>
  </w:p>
  <w:p w14:paraId="338B54BB" w14:textId="77777777" w:rsidR="00E75A06" w:rsidRDefault="00E75A06">
    <w:pPr>
      <w:pStyle w:val="Kopfzeile"/>
    </w:pPr>
  </w:p>
  <w:p w14:paraId="338B54BC" w14:textId="77777777" w:rsidR="00E75A06" w:rsidRDefault="00E75A06">
    <w:pPr>
      <w:pStyle w:val="Kopfzeile"/>
    </w:pPr>
  </w:p>
  <w:p w14:paraId="338B54BD" w14:textId="77777777" w:rsidR="00E75A06" w:rsidRDefault="00E75A06">
    <w:pPr>
      <w:pStyle w:val="Kopfzeile"/>
    </w:pPr>
  </w:p>
  <w:p w14:paraId="338B54BE"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26930"/>
    <w:rsid w:val="00052088"/>
    <w:rsid w:val="00087846"/>
    <w:rsid w:val="000C435C"/>
    <w:rsid w:val="000D3288"/>
    <w:rsid w:val="000E2C4E"/>
    <w:rsid w:val="00110121"/>
    <w:rsid w:val="0015238B"/>
    <w:rsid w:val="00197807"/>
    <w:rsid w:val="001B6A94"/>
    <w:rsid w:val="001B7E28"/>
    <w:rsid w:val="002123F7"/>
    <w:rsid w:val="00225E10"/>
    <w:rsid w:val="00250DBB"/>
    <w:rsid w:val="002637E8"/>
    <w:rsid w:val="00287A11"/>
    <w:rsid w:val="002A79AD"/>
    <w:rsid w:val="002B1EDE"/>
    <w:rsid w:val="002B7CB3"/>
    <w:rsid w:val="002C5E91"/>
    <w:rsid w:val="00356DBD"/>
    <w:rsid w:val="0036534A"/>
    <w:rsid w:val="00367A7C"/>
    <w:rsid w:val="003D0678"/>
    <w:rsid w:val="0040253B"/>
    <w:rsid w:val="00417E5D"/>
    <w:rsid w:val="004240E4"/>
    <w:rsid w:val="004919AF"/>
    <w:rsid w:val="004B1665"/>
    <w:rsid w:val="004D5829"/>
    <w:rsid w:val="004E1B97"/>
    <w:rsid w:val="00503838"/>
    <w:rsid w:val="005053FE"/>
    <w:rsid w:val="0053215D"/>
    <w:rsid w:val="005447AB"/>
    <w:rsid w:val="005555F9"/>
    <w:rsid w:val="005A75C5"/>
    <w:rsid w:val="005B23A4"/>
    <w:rsid w:val="005C53D0"/>
    <w:rsid w:val="005D4FAA"/>
    <w:rsid w:val="005D7E32"/>
    <w:rsid w:val="00602DF9"/>
    <w:rsid w:val="00602E00"/>
    <w:rsid w:val="0062027B"/>
    <w:rsid w:val="0062357F"/>
    <w:rsid w:val="00626932"/>
    <w:rsid w:val="00670180"/>
    <w:rsid w:val="00673D3E"/>
    <w:rsid w:val="00680D40"/>
    <w:rsid w:val="006A735D"/>
    <w:rsid w:val="006B2C95"/>
    <w:rsid w:val="006B3DEC"/>
    <w:rsid w:val="006B7969"/>
    <w:rsid w:val="006E1A23"/>
    <w:rsid w:val="006F38F9"/>
    <w:rsid w:val="006F5106"/>
    <w:rsid w:val="0071630B"/>
    <w:rsid w:val="00720064"/>
    <w:rsid w:val="00736C05"/>
    <w:rsid w:val="0074038A"/>
    <w:rsid w:val="007A720F"/>
    <w:rsid w:val="007D6215"/>
    <w:rsid w:val="007D6E41"/>
    <w:rsid w:val="00820BAB"/>
    <w:rsid w:val="008429DD"/>
    <w:rsid w:val="0085121B"/>
    <w:rsid w:val="00873528"/>
    <w:rsid w:val="008D0F18"/>
    <w:rsid w:val="008E2931"/>
    <w:rsid w:val="0091219B"/>
    <w:rsid w:val="009144E9"/>
    <w:rsid w:val="00915998"/>
    <w:rsid w:val="009163B3"/>
    <w:rsid w:val="00931D3D"/>
    <w:rsid w:val="00963B39"/>
    <w:rsid w:val="009724C9"/>
    <w:rsid w:val="009B2F4C"/>
    <w:rsid w:val="009B7D66"/>
    <w:rsid w:val="009F1855"/>
    <w:rsid w:val="00A43996"/>
    <w:rsid w:val="00A86124"/>
    <w:rsid w:val="00A97206"/>
    <w:rsid w:val="00AB76B3"/>
    <w:rsid w:val="00AC6BAC"/>
    <w:rsid w:val="00B204F9"/>
    <w:rsid w:val="00BC3937"/>
    <w:rsid w:val="00BF322C"/>
    <w:rsid w:val="00C06DE8"/>
    <w:rsid w:val="00C4611B"/>
    <w:rsid w:val="00C5360C"/>
    <w:rsid w:val="00C84CA6"/>
    <w:rsid w:val="00CD0C02"/>
    <w:rsid w:val="00CD50D5"/>
    <w:rsid w:val="00D00A9B"/>
    <w:rsid w:val="00D05FC8"/>
    <w:rsid w:val="00D1064C"/>
    <w:rsid w:val="00D211C9"/>
    <w:rsid w:val="00D223D8"/>
    <w:rsid w:val="00D26E8A"/>
    <w:rsid w:val="00D700E4"/>
    <w:rsid w:val="00D84B18"/>
    <w:rsid w:val="00E16E58"/>
    <w:rsid w:val="00E240BD"/>
    <w:rsid w:val="00E362DE"/>
    <w:rsid w:val="00E471EA"/>
    <w:rsid w:val="00E75A06"/>
    <w:rsid w:val="00EB4977"/>
    <w:rsid w:val="00EB5EB8"/>
    <w:rsid w:val="00ED0ACB"/>
    <w:rsid w:val="00EE5A83"/>
    <w:rsid w:val="00F03299"/>
    <w:rsid w:val="00F079BE"/>
    <w:rsid w:val="00F640E0"/>
    <w:rsid w:val="00F903F9"/>
    <w:rsid w:val="00F93F21"/>
    <w:rsid w:val="00FA6ABA"/>
    <w:rsid w:val="00FB7EFF"/>
    <w:rsid w:val="00FC009D"/>
    <w:rsid w:val="00FD61AE"/>
    <w:rsid w:val="00FE0DBA"/>
    <w:rsid w:val="00FE52FF"/>
    <w:rsid w:val="08FBD96D"/>
    <w:rsid w:val="13EA855D"/>
    <w:rsid w:val="24557BA3"/>
    <w:rsid w:val="291EA0DF"/>
    <w:rsid w:val="2AFE9DE6"/>
    <w:rsid w:val="2D7173EC"/>
    <w:rsid w:val="31D917BC"/>
    <w:rsid w:val="36786820"/>
    <w:rsid w:val="3F7F5C54"/>
    <w:rsid w:val="496A9E11"/>
    <w:rsid w:val="4F736D9B"/>
    <w:rsid w:val="55C393F1"/>
    <w:rsid w:val="59770EE8"/>
    <w:rsid w:val="641D359D"/>
    <w:rsid w:val="66F914F3"/>
    <w:rsid w:val="68612BB3"/>
    <w:rsid w:val="7CD66C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B5498"/>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A86124"/>
    <w:rPr>
      <w:sz w:val="16"/>
      <w:szCs w:val="16"/>
    </w:rPr>
  </w:style>
  <w:style w:type="paragraph" w:styleId="Kommentartext">
    <w:name w:val="annotation text"/>
    <w:basedOn w:val="Standard"/>
    <w:link w:val="KommentartextZchn"/>
    <w:uiPriority w:val="99"/>
    <w:semiHidden/>
    <w:unhideWhenUsed/>
    <w:rsid w:val="00A86124"/>
    <w:pPr>
      <w:spacing w:line="240" w:lineRule="auto"/>
    </w:pPr>
    <w:rPr>
      <w:sz w:val="20"/>
    </w:rPr>
  </w:style>
  <w:style w:type="character" w:customStyle="1" w:styleId="KommentartextZchn">
    <w:name w:val="Kommentartext Zchn"/>
    <w:basedOn w:val="Absatz-Standardschriftart"/>
    <w:link w:val="Kommentartext"/>
    <w:uiPriority w:val="99"/>
    <w:semiHidden/>
    <w:rsid w:val="00A86124"/>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A79AD"/>
    <w:rPr>
      <w:b/>
      <w:bCs/>
    </w:rPr>
  </w:style>
  <w:style w:type="character" w:customStyle="1" w:styleId="KommentarthemaZchn">
    <w:name w:val="Kommentarthema Zchn"/>
    <w:basedOn w:val="KommentartextZchn"/>
    <w:link w:val="Kommentarthema"/>
    <w:uiPriority w:val="99"/>
    <w:semiHidden/>
    <w:rsid w:val="002A79AD"/>
    <w:rPr>
      <w:rFonts w:ascii="Sparkasse Rg" w:eastAsia="Times New Roman" w:hAnsi="Sparkasse Rg"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18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B2A6D6D310AA742B7FA7EECE50DF615" ma:contentTypeVersion="13" ma:contentTypeDescription="Ein neues Dokument erstellen." ma:contentTypeScope="" ma:versionID="ea8e5093f4cc0f81eff3446a7b7636bf">
  <xsd:schema xmlns:xsd="http://www.w3.org/2001/XMLSchema" xmlns:xs="http://www.w3.org/2001/XMLSchema" xmlns:p="http://schemas.microsoft.com/office/2006/metadata/properties" xmlns:ns2="c3a5efd2-c8b9-4e5e-81d9-8e3dd796caa0" xmlns:ns3="e339aa7a-002b-45af-a9a7-3ff9101b1ca3" targetNamespace="http://schemas.microsoft.com/office/2006/metadata/properties" ma:root="true" ma:fieldsID="2cf3a123bac4761cbee915cdfd4091e0" ns2:_="" ns3:_="">
    <xsd:import namespace="c3a5efd2-c8b9-4e5e-81d9-8e3dd796caa0"/>
    <xsd:import namespace="e339aa7a-002b-45af-a9a7-3ff9101b1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CD5B5-A50B-4111-A8E4-3FFC9EB4B4E2}">
  <ds:schemaRefs>
    <ds:schemaRef ds:uri="http://schemas.openxmlformats.org/officeDocument/2006/bibliography"/>
  </ds:schemaRefs>
</ds:datastoreItem>
</file>

<file path=customXml/itemProps2.xml><?xml version="1.0" encoding="utf-8"?>
<ds:datastoreItem xmlns:ds="http://schemas.openxmlformats.org/officeDocument/2006/customXml" ds:itemID="{3EB0B58D-7698-4ABB-AD28-167B8F4FA7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6BAEE-B4B8-4037-A033-DA9176E8CF19}"/>
</file>

<file path=customXml/itemProps4.xml><?xml version="1.0" encoding="utf-8"?>
<ds:datastoreItem xmlns:ds="http://schemas.openxmlformats.org/officeDocument/2006/customXml" ds:itemID="{F249C6D2-F308-444D-A462-13B6915EA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7271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Elke Thiergärtner | epr - elsaesser public relations</cp:lastModifiedBy>
  <cp:revision>26</cp:revision>
  <dcterms:created xsi:type="dcterms:W3CDTF">2022-03-04T11:00:00Z</dcterms:created>
  <dcterms:modified xsi:type="dcterms:W3CDTF">2022-03-14T09:39:00Z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ies>
</file>