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935F" w14:textId="72F2DB44" w:rsidR="00DF2254" w:rsidRDefault="00DF2254"/>
    <w:p w14:paraId="60A31001" w14:textId="5D9F6773" w:rsidR="00653BDF" w:rsidRPr="003C0AE0" w:rsidRDefault="00653BDF" w:rsidP="00653BDF">
      <w:pPr>
        <w:pStyle w:val="Kopfzeile"/>
        <w:jc w:val="right"/>
        <w:rPr>
          <w:lang w:val="en-GB"/>
        </w:rPr>
      </w:pPr>
      <w:r>
        <w:rPr>
          <w:rFonts w:ascii="Verdana" w:hAnsi="Verdana" w:cs="Verdana"/>
          <w:color w:val="808080"/>
          <w:sz w:val="20"/>
          <w:szCs w:val="20"/>
        </w:rPr>
        <w:tab/>
      </w:r>
      <w:r>
        <w:rPr>
          <w:rFonts w:ascii="Verdana" w:hAnsi="Verdana" w:cs="Verdana"/>
          <w:color w:val="808080"/>
          <w:sz w:val="20"/>
          <w:szCs w:val="20"/>
        </w:rPr>
        <w:tab/>
      </w:r>
      <w:r>
        <w:rPr>
          <w:rFonts w:ascii="Verdana" w:hAnsi="Verdana" w:cs="Verdana"/>
          <w:color w:val="808080"/>
          <w:sz w:val="20"/>
          <w:szCs w:val="20"/>
        </w:rPr>
        <w:tab/>
      </w:r>
      <w:r w:rsidRPr="003C0AE0">
        <w:rPr>
          <w:rFonts w:ascii="Verdana" w:hAnsi="Verdana" w:cs="Verdana"/>
          <w:color w:val="808080"/>
          <w:sz w:val="20"/>
          <w:szCs w:val="20"/>
          <w:lang w:val="en-GB"/>
        </w:rPr>
        <w:t>Press</w:t>
      </w:r>
      <w:r w:rsidR="00B31E3C" w:rsidRPr="003C0AE0">
        <w:rPr>
          <w:rFonts w:ascii="Verdana" w:hAnsi="Verdana" w:cs="Verdana"/>
          <w:color w:val="808080"/>
          <w:sz w:val="20"/>
          <w:szCs w:val="20"/>
          <w:lang w:val="en-GB"/>
        </w:rPr>
        <w:t xml:space="preserve"> rel</w:t>
      </w:r>
      <w:r w:rsidRPr="003C0AE0">
        <w:rPr>
          <w:rFonts w:ascii="Verdana" w:hAnsi="Verdana" w:cs="Verdana"/>
          <w:color w:val="808080"/>
          <w:sz w:val="20"/>
          <w:szCs w:val="20"/>
          <w:lang w:val="en-GB"/>
        </w:rPr>
        <w:t>e</w:t>
      </w:r>
      <w:r w:rsidR="00B31E3C" w:rsidRPr="003C0AE0">
        <w:rPr>
          <w:rFonts w:ascii="Verdana" w:hAnsi="Verdana" w:cs="Verdana"/>
          <w:color w:val="808080"/>
          <w:sz w:val="20"/>
          <w:szCs w:val="20"/>
          <w:lang w:val="en-GB"/>
        </w:rPr>
        <w:t>ase</w:t>
      </w:r>
    </w:p>
    <w:p w14:paraId="2B6E500B" w14:textId="77777777" w:rsidR="00653BDF" w:rsidRPr="003C0AE0" w:rsidRDefault="00653BDF">
      <w:pPr>
        <w:rPr>
          <w:lang w:val="en-GB"/>
        </w:rPr>
      </w:pPr>
    </w:p>
    <w:p w14:paraId="4D44D8DA" w14:textId="37EE9549" w:rsidR="008146C4" w:rsidRPr="008C1789" w:rsidRDefault="00C02A0C">
      <w:pPr>
        <w:rPr>
          <w:b/>
          <w:bCs/>
          <w:u w:val="single"/>
          <w:lang w:val="en-GB"/>
        </w:rPr>
      </w:pPr>
      <w:r w:rsidRPr="008C1789">
        <w:rPr>
          <w:b/>
          <w:bCs/>
          <w:u w:val="single"/>
          <w:lang w:val="en-GB"/>
        </w:rPr>
        <w:t>tML-</w:t>
      </w:r>
      <w:r w:rsidR="008C1789" w:rsidRPr="008C1789">
        <w:rPr>
          <w:b/>
          <w:bCs/>
          <w:u w:val="single"/>
          <w:lang w:val="en-GB"/>
        </w:rPr>
        <w:t>system platform with SN single-fibre connector now available</w:t>
      </w:r>
      <w:r w:rsidR="0086499B" w:rsidRPr="008C1789">
        <w:rPr>
          <w:b/>
          <w:bCs/>
          <w:u w:val="single"/>
          <w:lang w:val="en-GB"/>
        </w:rPr>
        <w:t xml:space="preserve"> </w:t>
      </w:r>
    </w:p>
    <w:p w14:paraId="30D31F57" w14:textId="3C704B7E" w:rsidR="008C1789" w:rsidRPr="008C1789" w:rsidRDefault="008C1789" w:rsidP="006B314F">
      <w:pPr>
        <w:rPr>
          <w:b/>
          <w:bCs/>
          <w:sz w:val="28"/>
          <w:szCs w:val="28"/>
          <w:lang w:val="en-GB"/>
        </w:rPr>
      </w:pPr>
      <w:r w:rsidRPr="008C1789">
        <w:rPr>
          <w:b/>
          <w:bCs/>
          <w:sz w:val="28"/>
          <w:szCs w:val="28"/>
          <w:lang w:val="en-GB"/>
        </w:rPr>
        <w:t xml:space="preserve">tML </w:t>
      </w:r>
      <w:r w:rsidR="00D36FA0">
        <w:rPr>
          <w:b/>
          <w:bCs/>
          <w:sz w:val="28"/>
          <w:szCs w:val="28"/>
          <w:lang w:val="en-GB"/>
        </w:rPr>
        <w:t>FO</w:t>
      </w:r>
      <w:r w:rsidRPr="008C1789">
        <w:rPr>
          <w:b/>
          <w:bCs/>
          <w:sz w:val="28"/>
          <w:szCs w:val="28"/>
          <w:lang w:val="en-GB"/>
        </w:rPr>
        <w:t xml:space="preserve"> SN module: High-density in the patch area with 384 fibres on one height unit</w:t>
      </w:r>
    </w:p>
    <w:p w14:paraId="1B1EDA35" w14:textId="04A95C39" w:rsidR="008C1789" w:rsidRPr="008C1789" w:rsidRDefault="008C1789" w:rsidP="00345A77">
      <w:pPr>
        <w:spacing w:line="360" w:lineRule="auto"/>
        <w:rPr>
          <w:b/>
          <w:bCs/>
          <w:lang w:val="en-GB"/>
        </w:rPr>
      </w:pPr>
      <w:r w:rsidRPr="008C1789">
        <w:rPr>
          <w:b/>
          <w:bCs/>
          <w:lang w:val="en-GB"/>
        </w:rPr>
        <w:t>Dortmund</w:t>
      </w:r>
      <w:r>
        <w:rPr>
          <w:b/>
          <w:bCs/>
          <w:lang w:val="en-GB"/>
        </w:rPr>
        <w:t>/Germany</w:t>
      </w:r>
      <w:r w:rsidRPr="008C1789">
        <w:rPr>
          <w:b/>
          <w:bCs/>
          <w:lang w:val="en-GB"/>
        </w:rPr>
        <w:t xml:space="preserve">, </w:t>
      </w:r>
      <w:r w:rsidR="009E7355">
        <w:rPr>
          <w:b/>
          <w:bCs/>
          <w:lang w:val="en-GB"/>
        </w:rPr>
        <w:t>12</w:t>
      </w:r>
      <w:r w:rsidRPr="003C0AE0">
        <w:rPr>
          <w:b/>
          <w:bCs/>
          <w:lang w:val="en-GB"/>
        </w:rPr>
        <w:t xml:space="preserve"> </w:t>
      </w:r>
      <w:r w:rsidR="003C0AE0" w:rsidRPr="003C0AE0">
        <w:rPr>
          <w:b/>
          <w:bCs/>
          <w:lang w:val="en-GB"/>
        </w:rPr>
        <w:t>January</w:t>
      </w:r>
      <w:r w:rsidRPr="003C0AE0">
        <w:rPr>
          <w:b/>
          <w:bCs/>
          <w:lang w:val="en-GB"/>
        </w:rPr>
        <w:t xml:space="preserve"> 202</w:t>
      </w:r>
      <w:r w:rsidR="003C0AE0" w:rsidRPr="003C0AE0">
        <w:rPr>
          <w:b/>
          <w:bCs/>
          <w:lang w:val="en-GB"/>
        </w:rPr>
        <w:t>2</w:t>
      </w:r>
      <w:r w:rsidRPr="008C1789">
        <w:rPr>
          <w:b/>
          <w:bCs/>
          <w:lang w:val="en-GB"/>
        </w:rPr>
        <w:t>. tde - trans data elektronik is the first network expert to provide a fibre optic SN module for its successful tML-Standard, tML24 and tML-Xtended cabling platforms. For this purpose, tde has integrated the compact SN connector from Senko into its tML system platform. The result: with 384 fibres on one height unit in the patch area, the packing density is doubled compared to LC duplex connectors. Companies and network engineers thus save valuable space in data centres. In the rear</w:t>
      </w:r>
      <w:r w:rsidR="00D36FA0">
        <w:rPr>
          <w:b/>
          <w:bCs/>
          <w:lang w:val="en-GB"/>
        </w:rPr>
        <w:t xml:space="preserve"> area</w:t>
      </w:r>
      <w:r w:rsidRPr="008C1789">
        <w:rPr>
          <w:b/>
          <w:bCs/>
          <w:lang w:val="en-GB"/>
        </w:rPr>
        <w:t>, the new module relies on the proven MPO technology with plug-and-play functionality.</w:t>
      </w:r>
    </w:p>
    <w:p w14:paraId="1C01657F" w14:textId="1DC427C5" w:rsidR="008C1789" w:rsidRPr="008C1789" w:rsidRDefault="008C1789" w:rsidP="00345A77">
      <w:pPr>
        <w:spacing w:line="360" w:lineRule="auto"/>
        <w:rPr>
          <w:lang w:val="en-GB"/>
        </w:rPr>
      </w:pPr>
      <w:r w:rsidRPr="008C1789">
        <w:rPr>
          <w:lang w:val="en-GB"/>
        </w:rPr>
        <w:t xml:space="preserve">With the new tML fibre optic SN module, tde underlines its innovative claim to always offer customers the highest packing density in the industry: The technology pioneer and long-standing and trusted partner of Senko combines the advantage of the highly compact SN single-fibre connector with their tML systems. By easily replacing and upgrading existing tML systems with LC duplex modules with fibre optic SN modules, customers get the highest packing density with single fibre connectors currently on the market. "The demands on data centres are enormous: in addition to ever higher transmission rates, the highest packing density and better manageability, they must also make optimal use of the existing, valuable space and take the aspect of green IT into account. With the new </w:t>
      </w:r>
      <w:r w:rsidR="00D36FA0">
        <w:rPr>
          <w:lang w:val="en-GB"/>
        </w:rPr>
        <w:t xml:space="preserve">fibre optic </w:t>
      </w:r>
      <w:r w:rsidRPr="008C1789">
        <w:rPr>
          <w:lang w:val="en-GB"/>
        </w:rPr>
        <w:t xml:space="preserve">SN module, we now offer data centres an innovative solution for high-density applications and future-proof high-speed networks with transmissions of currently up to 400G," says André Engel and continues: "The tML </w:t>
      </w:r>
      <w:r w:rsidR="00D36FA0">
        <w:rPr>
          <w:lang w:val="en-GB"/>
        </w:rPr>
        <w:t xml:space="preserve">fibre optic </w:t>
      </w:r>
      <w:r w:rsidRPr="008C1789">
        <w:rPr>
          <w:lang w:val="en-GB"/>
        </w:rPr>
        <w:t>SN module once again significantly increases the packing efficiency of our scalable tML system in the patch area."</w:t>
      </w:r>
    </w:p>
    <w:p w14:paraId="072DC2C2" w14:textId="1E782155" w:rsidR="00D434EE" w:rsidRDefault="001B7160" w:rsidP="00345A77">
      <w:pPr>
        <w:spacing w:line="360" w:lineRule="auto"/>
        <w:rPr>
          <w:lang w:val="en-GB"/>
        </w:rPr>
      </w:pPr>
      <w:r w:rsidRPr="001B7160">
        <w:rPr>
          <w:i/>
          <w:iCs/>
          <w:lang w:val="en-GB"/>
        </w:rPr>
        <w:t>tML fibre optic SN module saves expensive space for more Green IT</w:t>
      </w:r>
      <w:r w:rsidR="00340ACF" w:rsidRPr="001B7160">
        <w:rPr>
          <w:i/>
          <w:iCs/>
          <w:lang w:val="en-GB"/>
        </w:rPr>
        <w:br/>
      </w:r>
      <w:r w:rsidRPr="001B7160">
        <w:rPr>
          <w:lang w:val="en-GB"/>
        </w:rPr>
        <w:t xml:space="preserve">Thanks to the compact design of the SN connector, 24 x fibre optic SN connectors with 48 fibres can be accommodated in a tML module as well as 192 x 2 fibres with a total of 384 fibres on a 19-inch height unit. "This is a doubling of the packing density compared to the use of LC duplex connectors." explains André Engel. "Incidentally, we also ensure this packing efficiency with our tML fibre optic MDC module introduced </w:t>
      </w:r>
      <w:r w:rsidR="00B017D5">
        <w:rPr>
          <w:lang w:val="en-GB"/>
        </w:rPr>
        <w:t>in 2020</w:t>
      </w:r>
      <w:r w:rsidRPr="001B7160">
        <w:rPr>
          <w:lang w:val="en-GB"/>
        </w:rPr>
        <w:t xml:space="preserve">."  </w:t>
      </w:r>
      <w:r w:rsidR="00900F7D" w:rsidRPr="001B7160">
        <w:rPr>
          <w:lang w:val="en-GB"/>
        </w:rPr>
        <w:br/>
      </w:r>
      <w:r w:rsidR="00900F7D" w:rsidRPr="001B7160">
        <w:rPr>
          <w:lang w:val="en-GB"/>
        </w:rPr>
        <w:br/>
      </w:r>
      <w:r w:rsidR="00900F7D" w:rsidRPr="001B7160">
        <w:rPr>
          <w:lang w:val="en-GB"/>
        </w:rPr>
        <w:br/>
      </w:r>
      <w:r w:rsidR="00900F7D" w:rsidRPr="001B7160">
        <w:rPr>
          <w:lang w:val="en-GB"/>
        </w:rPr>
        <w:lastRenderedPageBreak/>
        <w:br/>
      </w:r>
    </w:p>
    <w:p w14:paraId="5EC8DDFD" w14:textId="17AEA1AF" w:rsidR="001B7160" w:rsidRPr="001B7160" w:rsidRDefault="001B7160" w:rsidP="00345A77">
      <w:pPr>
        <w:spacing w:line="360" w:lineRule="auto"/>
        <w:rPr>
          <w:lang w:val="en-GB"/>
        </w:rPr>
      </w:pPr>
      <w:r w:rsidRPr="001B7160">
        <w:rPr>
          <w:lang w:val="en-GB"/>
        </w:rPr>
        <w:t>In addition, the new tML fibre optic SN module enables a quadrupling of port density compared to the industry standard. In the rear</w:t>
      </w:r>
      <w:r w:rsidR="00FA42D4">
        <w:rPr>
          <w:lang w:val="en-GB"/>
        </w:rPr>
        <w:t xml:space="preserve"> area</w:t>
      </w:r>
      <w:r w:rsidRPr="001B7160">
        <w:rPr>
          <w:lang w:val="en-GB"/>
        </w:rPr>
        <w:t>, the tML modules rely on the proven MPO technology. The tML24 system integrates two 24-fibre MPOs. This results in drastic savings in expensive space, which also does not need to be air-conditioned, combined with more green IT.</w:t>
      </w:r>
    </w:p>
    <w:p w14:paraId="776303F9" w14:textId="77777777" w:rsidR="00D434EE" w:rsidRPr="00D434EE" w:rsidRDefault="00D434EE" w:rsidP="00D434EE">
      <w:pPr>
        <w:spacing w:line="360" w:lineRule="auto"/>
        <w:rPr>
          <w:i/>
          <w:iCs/>
          <w:lang w:val="en-GB"/>
        </w:rPr>
      </w:pPr>
      <w:r w:rsidRPr="00D434EE">
        <w:rPr>
          <w:i/>
          <w:iCs/>
          <w:lang w:val="en-GB"/>
        </w:rPr>
        <w:t>Designed for breakout applications</w:t>
      </w:r>
    </w:p>
    <w:p w14:paraId="75706AE7" w14:textId="58D5A8CD" w:rsidR="00B017D5" w:rsidRDefault="00D434EE" w:rsidP="00B017D5">
      <w:pPr>
        <w:spacing w:after="0" w:line="360" w:lineRule="auto"/>
        <w:rPr>
          <w:b/>
          <w:bCs/>
          <w:sz w:val="18"/>
          <w:szCs w:val="18"/>
          <w:lang w:val="en-GB"/>
        </w:rPr>
      </w:pPr>
      <w:r w:rsidRPr="00D434EE">
        <w:rPr>
          <w:lang w:val="en-GB"/>
        </w:rPr>
        <w:t xml:space="preserve">Senko has designed the very narrow connector based on the proven 1.25 mm ferrule technology for the new generation of high-density transceivers OSFP (Octal Small Format Pluggable) and QSFP DD (Quad Small Form Factor Pluggable Double Density) with transmission rates of up to 400G. This gives network engineers options for breakout applications by </w:t>
      </w:r>
      <w:r w:rsidR="00FA42D4">
        <w:rPr>
          <w:lang w:val="en-GB"/>
        </w:rPr>
        <w:t xml:space="preserve">dividing </w:t>
      </w:r>
      <w:r w:rsidRPr="00D434EE">
        <w:rPr>
          <w:lang w:val="en-GB"/>
        </w:rPr>
        <w:t xml:space="preserve">the transmission rates into </w:t>
      </w:r>
      <w:r w:rsidR="00FA42D4">
        <w:rPr>
          <w:lang w:val="en-GB"/>
        </w:rPr>
        <w:t xml:space="preserve">channels with </w:t>
      </w:r>
      <w:r w:rsidRPr="00D434EE">
        <w:rPr>
          <w:lang w:val="en-GB"/>
        </w:rPr>
        <w:t xml:space="preserve">lower channel speed. This allows for more efficient use of active component chassis with higher port </w:t>
      </w:r>
      <w:r w:rsidR="00FA42D4">
        <w:rPr>
          <w:lang w:val="en-GB"/>
        </w:rPr>
        <w:t xml:space="preserve">numbers </w:t>
      </w:r>
      <w:r w:rsidRPr="00D434EE">
        <w:rPr>
          <w:lang w:val="en-GB"/>
        </w:rPr>
        <w:t xml:space="preserve">and packing densities. "We are pleased that with the successful SN as well as </w:t>
      </w:r>
      <w:r w:rsidR="00FA42D4">
        <w:rPr>
          <w:lang w:val="en-GB"/>
        </w:rPr>
        <w:t xml:space="preserve">the </w:t>
      </w:r>
      <w:r w:rsidRPr="00D434EE">
        <w:rPr>
          <w:lang w:val="en-GB"/>
        </w:rPr>
        <w:t>MDC integration</w:t>
      </w:r>
      <w:r w:rsidR="00FA42D4">
        <w:rPr>
          <w:lang w:val="en-GB"/>
        </w:rPr>
        <w:t xml:space="preserve"> in 2020</w:t>
      </w:r>
      <w:r w:rsidRPr="00D434EE">
        <w:rPr>
          <w:lang w:val="en-GB"/>
        </w:rPr>
        <w:t xml:space="preserve">, we are giving customers the choice of which paths they want to migrate to high-speed transmissions up to 400G currently," says André Engel. "Nevertheless, high-fibre MPO cabling in the rear </w:t>
      </w:r>
      <w:r w:rsidR="00FA42D4">
        <w:rPr>
          <w:lang w:val="en-GB"/>
        </w:rPr>
        <w:t xml:space="preserve">area </w:t>
      </w:r>
      <w:r w:rsidRPr="00D434EE">
        <w:rPr>
          <w:lang w:val="en-GB"/>
        </w:rPr>
        <w:t>with flexible modular technology remains the future-proof and investment-proof solution - if it integrates all connectors currently available on the market."</w:t>
      </w:r>
      <w:r w:rsidR="009533DE" w:rsidRPr="00D434EE">
        <w:rPr>
          <w:lang w:val="en-GB"/>
        </w:rPr>
        <w:br/>
      </w:r>
      <w:r w:rsidR="00900F7D" w:rsidRPr="00D434EE">
        <w:rPr>
          <w:rFonts w:cs="Verdana"/>
          <w:b/>
          <w:bCs/>
          <w:sz w:val="18"/>
          <w:szCs w:val="16"/>
          <w:lang w:val="en-GB"/>
        </w:rPr>
        <w:br/>
      </w:r>
      <w:r w:rsidR="00B017D5">
        <w:rPr>
          <w:b/>
          <w:bCs/>
          <w:sz w:val="18"/>
          <w:szCs w:val="18"/>
          <w:lang w:val="en-GB"/>
        </w:rPr>
        <w:t xml:space="preserve">About tde – trans data elektronik GmbH </w:t>
      </w:r>
    </w:p>
    <w:p w14:paraId="74C219C0" w14:textId="2428CB68" w:rsidR="00B017D5" w:rsidRDefault="00B017D5" w:rsidP="00B017D5">
      <w:pPr>
        <w:jc w:val="both"/>
        <w:rPr>
          <w:lang w:val="en-GB"/>
        </w:rPr>
      </w:pPr>
      <w:r>
        <w:rPr>
          <w:sz w:val="18"/>
          <w:szCs w:val="18"/>
          <w:lang w:val="en-GB"/>
        </w:rPr>
        <w:t>For</w:t>
      </w:r>
      <w:r w:rsidR="003C0AE0">
        <w:rPr>
          <w:sz w:val="18"/>
          <w:szCs w:val="18"/>
          <w:lang w:val="en-GB"/>
        </w:rPr>
        <w:t xml:space="preserve"> more than</w:t>
      </w:r>
      <w:r>
        <w:rPr>
          <w:sz w:val="18"/>
          <w:szCs w:val="18"/>
          <w:lang w:val="en-GB"/>
        </w:rPr>
        <w:t xml:space="preserve"> 30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11" w:history="1">
        <w:r w:rsidR="009E7355" w:rsidRPr="009E7355">
          <w:rPr>
            <w:rStyle w:val="Hyperlink"/>
            <w:rFonts w:cstheme="minorBidi"/>
            <w:sz w:val="18"/>
            <w:szCs w:val="18"/>
            <w:lang w:val="en-GB"/>
          </w:rPr>
          <w:t>www.tde.de/en/</w:t>
        </w:r>
      </w:hyperlink>
      <w:r w:rsidR="009E7355">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2" w:history="1">
        <w:r w:rsidRPr="0088496C">
          <w:rPr>
            <w:rStyle w:val="Hyperlink"/>
            <w:rFonts w:cs="Calibri"/>
            <w:sz w:val="18"/>
            <w:szCs w:val="16"/>
            <w:lang w:val="en-US"/>
          </w:rPr>
          <w:t>LinkedIn</w:t>
        </w:r>
      </w:hyperlink>
      <w:r w:rsidRPr="0088496C">
        <w:rPr>
          <w:sz w:val="18"/>
          <w:szCs w:val="16"/>
          <w:lang w:val="en-US"/>
        </w:rPr>
        <w:t xml:space="preserve">, </w:t>
      </w:r>
      <w:hyperlink r:id="rId13" w:history="1">
        <w:r w:rsidRPr="0088496C">
          <w:rPr>
            <w:rStyle w:val="Hyperlink"/>
            <w:rFonts w:cs="Calibri"/>
            <w:sz w:val="18"/>
            <w:szCs w:val="16"/>
            <w:lang w:val="en-US"/>
          </w:rPr>
          <w:t>Twitter</w:t>
        </w:r>
      </w:hyperlink>
      <w:r w:rsidRPr="0088496C">
        <w:rPr>
          <w:sz w:val="18"/>
          <w:szCs w:val="16"/>
          <w:lang w:val="en-US"/>
        </w:rPr>
        <w:t xml:space="preserve"> und </w:t>
      </w:r>
      <w:hyperlink r:id="rId14" w:history="1">
        <w:r w:rsidRPr="0088496C">
          <w:rPr>
            <w:rStyle w:val="Hyperlink"/>
            <w:rFonts w:cs="Calibri"/>
            <w:sz w:val="18"/>
            <w:szCs w:val="16"/>
            <w:lang w:val="en-US"/>
          </w:rPr>
          <w:t>Xing</w:t>
        </w:r>
      </w:hyperlink>
      <w:r w:rsidRPr="0088496C">
        <w:rPr>
          <w:rStyle w:val="Hyperlink"/>
          <w:rFonts w:cs="Calibri"/>
          <w:sz w:val="18"/>
          <w:szCs w:val="16"/>
          <w:lang w:val="en-US"/>
        </w:rPr>
        <w:t>.</w:t>
      </w:r>
    </w:p>
    <w:p w14:paraId="5562C213" w14:textId="38B96F4B" w:rsidR="00B017D5" w:rsidRDefault="00B017D5" w:rsidP="00B017D5">
      <w:pPr>
        <w:rPr>
          <w:b/>
          <w:bCs/>
          <w:sz w:val="18"/>
          <w:szCs w:val="18"/>
          <w:lang w:val="en-GB"/>
        </w:rPr>
      </w:pPr>
    </w:p>
    <w:p w14:paraId="48BC3F53" w14:textId="77777777" w:rsidR="00B017D5" w:rsidRDefault="00B017D5" w:rsidP="00B017D5">
      <w:pPr>
        <w:rPr>
          <w:rStyle w:val="Hyperlink"/>
          <w:rFonts w:cs="Calibri"/>
        </w:rPr>
      </w:pPr>
      <w:r w:rsidRPr="00302ED9">
        <w:rPr>
          <w:b/>
          <w:bCs/>
          <w:sz w:val="18"/>
          <w:szCs w:val="18"/>
        </w:rPr>
        <w:t xml:space="preserve">Customer </w:t>
      </w:r>
      <w:proofErr w:type="spellStart"/>
      <w:r w:rsidRPr="00302ED9">
        <w:rPr>
          <w:b/>
          <w:bCs/>
          <w:sz w:val="18"/>
          <w:szCs w:val="18"/>
        </w:rPr>
        <w:t>contact</w:t>
      </w:r>
      <w:proofErr w:type="spellEnd"/>
      <w:r w:rsidRPr="00302ED9">
        <w:rPr>
          <w:b/>
          <w:bCs/>
          <w:sz w:val="18"/>
          <w:szCs w:val="18"/>
        </w:rPr>
        <w:t xml:space="preserve">: </w:t>
      </w:r>
      <w:r w:rsidRPr="00302ED9">
        <w:rPr>
          <w:b/>
          <w:bCs/>
          <w:sz w:val="18"/>
          <w:szCs w:val="18"/>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5" w:history="1">
        <w:r>
          <w:rPr>
            <w:rStyle w:val="Hyperlink"/>
            <w:rFonts w:cs="Calibri"/>
            <w:sz w:val="18"/>
          </w:rPr>
          <w:t>info@tde.de</w:t>
        </w:r>
      </w:hyperlink>
      <w:r>
        <w:rPr>
          <w:sz w:val="18"/>
          <w:szCs w:val="16"/>
        </w:rPr>
        <w:t xml:space="preserve">, </w:t>
      </w:r>
      <w:hyperlink r:id="rId16" w:history="1">
        <w:r>
          <w:rPr>
            <w:rStyle w:val="Hyperlink"/>
            <w:rFonts w:cs="Calibri"/>
            <w:sz w:val="18"/>
          </w:rPr>
          <w:t>www.tde.de</w:t>
        </w:r>
      </w:hyperlink>
    </w:p>
    <w:p w14:paraId="78D6269F" w14:textId="77777777" w:rsidR="00B017D5" w:rsidRDefault="00B017D5" w:rsidP="00B017D5">
      <w:pPr>
        <w:spacing w:after="0"/>
        <w:jc w:val="both"/>
        <w:rPr>
          <w:b/>
          <w:bCs/>
          <w:sz w:val="18"/>
          <w:szCs w:val="18"/>
        </w:rPr>
      </w:pPr>
      <w:r w:rsidRPr="00895437">
        <w:rPr>
          <w:b/>
          <w:bCs/>
          <w:sz w:val="18"/>
          <w:szCs w:val="18"/>
        </w:rPr>
        <w:t xml:space="preserve">Press </w:t>
      </w:r>
      <w:proofErr w:type="spellStart"/>
      <w:r w:rsidRPr="00895437">
        <w:rPr>
          <w:b/>
          <w:bCs/>
          <w:sz w:val="18"/>
          <w:szCs w:val="18"/>
        </w:rPr>
        <w:t>contact</w:t>
      </w:r>
      <w:proofErr w:type="spellEnd"/>
      <w:r w:rsidRPr="00895437">
        <w:rPr>
          <w:b/>
          <w:bCs/>
          <w:sz w:val="18"/>
          <w:szCs w:val="18"/>
        </w:rPr>
        <w:t>:</w:t>
      </w:r>
    </w:p>
    <w:p w14:paraId="4A9488F0" w14:textId="77777777" w:rsidR="00B017D5" w:rsidRDefault="00B017D5" w:rsidP="00B017D5">
      <w:pPr>
        <w:spacing w:after="0"/>
        <w:jc w:val="both"/>
      </w:pPr>
      <w:r>
        <w:rPr>
          <w:sz w:val="18"/>
          <w:szCs w:val="16"/>
        </w:rPr>
        <w:t>epr – elsaesser public relations, Maximilianstraße 50, D - 86150 Augsburg</w:t>
      </w:r>
    </w:p>
    <w:p w14:paraId="3F563DAC" w14:textId="77777777" w:rsidR="00B017D5" w:rsidRDefault="00B017D5" w:rsidP="00B017D5">
      <w:pPr>
        <w:spacing w:after="0"/>
        <w:jc w:val="both"/>
      </w:pPr>
      <w:r>
        <w:rPr>
          <w:sz w:val="18"/>
          <w:szCs w:val="16"/>
        </w:rPr>
        <w:t xml:space="preserve">Frauke Schütz, Tel: +49 821 4508 7916, </w:t>
      </w:r>
      <w:hyperlink r:id="rId17" w:history="1">
        <w:r>
          <w:rPr>
            <w:rStyle w:val="Hyperlink"/>
            <w:rFonts w:cs="Calibri"/>
            <w:sz w:val="18"/>
          </w:rPr>
          <w:t>fs@epr-online.de</w:t>
        </w:r>
      </w:hyperlink>
    </w:p>
    <w:p w14:paraId="6A88CB32" w14:textId="77777777" w:rsidR="00B017D5" w:rsidRPr="00C32150" w:rsidRDefault="00B017D5" w:rsidP="00B017D5">
      <w:pPr>
        <w:spacing w:after="0"/>
        <w:jc w:val="both"/>
        <w:rPr>
          <w:sz w:val="18"/>
          <w:lang w:val="nl-NL"/>
        </w:rPr>
      </w:pPr>
      <w:r w:rsidRPr="00C32150">
        <w:rPr>
          <w:sz w:val="18"/>
          <w:szCs w:val="16"/>
          <w:lang w:val="nl-NL"/>
        </w:rPr>
        <w:t>Elke Thiergärtner, Tel: +49 821 4508 7912,</w:t>
      </w:r>
      <w:r w:rsidRPr="00C32150">
        <w:rPr>
          <w:b/>
          <w:sz w:val="18"/>
          <w:szCs w:val="16"/>
          <w:lang w:val="nl-NL"/>
        </w:rPr>
        <w:t xml:space="preserve"> </w:t>
      </w:r>
      <w:r w:rsidRPr="00C32150">
        <w:rPr>
          <w:rStyle w:val="Hyperlink"/>
          <w:rFonts w:cs="Calibri"/>
          <w:sz w:val="18"/>
          <w:lang w:val="nl-NL"/>
        </w:rPr>
        <w:t>et@epr-online.de</w:t>
      </w:r>
    </w:p>
    <w:p w14:paraId="1CE82398" w14:textId="77777777" w:rsidR="00B017D5" w:rsidRPr="00E843AA" w:rsidRDefault="00B945FC" w:rsidP="00B017D5">
      <w:pPr>
        <w:spacing w:after="0"/>
        <w:jc w:val="both"/>
        <w:rPr>
          <w:rFonts w:cs="Verdana"/>
          <w:sz w:val="18"/>
          <w:szCs w:val="16"/>
        </w:rPr>
      </w:pPr>
      <w:hyperlink r:id="rId18" w:history="1">
        <w:r w:rsidR="00B017D5" w:rsidRPr="009663BF">
          <w:rPr>
            <w:rStyle w:val="Hyperlink"/>
            <w:rFonts w:cs="Calibri"/>
            <w:sz w:val="18"/>
          </w:rPr>
          <w:t>www.epr-online.de</w:t>
        </w:r>
      </w:hyperlink>
      <w:r w:rsidR="00B017D5" w:rsidRPr="00E843AA">
        <w:rPr>
          <w:rFonts w:cs="Verdana"/>
          <w:sz w:val="18"/>
          <w:szCs w:val="16"/>
        </w:rPr>
        <w:t xml:space="preserve"> </w:t>
      </w:r>
    </w:p>
    <w:p w14:paraId="10AA3D50" w14:textId="77777777" w:rsidR="00B017D5" w:rsidRPr="00F63B59" w:rsidRDefault="00B017D5" w:rsidP="00B017D5">
      <w:pPr>
        <w:spacing w:after="0" w:line="360" w:lineRule="auto"/>
        <w:rPr>
          <w:rStyle w:val="Hyperlink"/>
          <w:rFonts w:cs="Calibri"/>
          <w:sz w:val="18"/>
          <w:szCs w:val="18"/>
        </w:rPr>
      </w:pPr>
    </w:p>
    <w:p w14:paraId="6DFED74A" w14:textId="77777777" w:rsidR="00B017D5" w:rsidRPr="00E843AA" w:rsidRDefault="00B017D5" w:rsidP="00B017D5">
      <w:pPr>
        <w:rPr>
          <w:rFonts w:cs="Verdana"/>
          <w:sz w:val="18"/>
          <w:szCs w:val="16"/>
        </w:rPr>
      </w:pPr>
    </w:p>
    <w:p w14:paraId="1297E3FB" w14:textId="649618AF" w:rsidR="003F30CB" w:rsidRPr="00095607" w:rsidRDefault="003F30CB" w:rsidP="00B017D5">
      <w:pPr>
        <w:spacing w:line="360" w:lineRule="auto"/>
        <w:rPr>
          <w:lang w:val="nl-NL"/>
        </w:rPr>
      </w:pPr>
    </w:p>
    <w:sectPr w:rsidR="003F30CB" w:rsidRPr="00095607">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55DB" w14:textId="77777777" w:rsidR="00653BDF" w:rsidRDefault="00653BDF" w:rsidP="00653BDF">
      <w:pPr>
        <w:spacing w:after="0" w:line="240" w:lineRule="auto"/>
      </w:pPr>
      <w:r>
        <w:separator/>
      </w:r>
    </w:p>
  </w:endnote>
  <w:endnote w:type="continuationSeparator" w:id="0">
    <w:p w14:paraId="2452A4D3" w14:textId="77777777" w:rsidR="00653BDF" w:rsidRDefault="00653BDF" w:rsidP="00653BDF">
      <w:pPr>
        <w:spacing w:after="0" w:line="240" w:lineRule="auto"/>
      </w:pPr>
      <w:r>
        <w:continuationSeparator/>
      </w:r>
    </w:p>
  </w:endnote>
  <w:endnote w:type="continuationNotice" w:id="1">
    <w:p w14:paraId="7650837D" w14:textId="77777777" w:rsidR="00511B6F" w:rsidRDefault="00511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8F9E" w14:textId="77777777" w:rsidR="00653BDF" w:rsidRDefault="00653BDF" w:rsidP="00653BDF">
      <w:pPr>
        <w:spacing w:after="0" w:line="240" w:lineRule="auto"/>
      </w:pPr>
      <w:r>
        <w:separator/>
      </w:r>
    </w:p>
  </w:footnote>
  <w:footnote w:type="continuationSeparator" w:id="0">
    <w:p w14:paraId="4B4C63D3" w14:textId="77777777" w:rsidR="00653BDF" w:rsidRDefault="00653BDF" w:rsidP="00653BDF">
      <w:pPr>
        <w:spacing w:after="0" w:line="240" w:lineRule="auto"/>
      </w:pPr>
      <w:r>
        <w:continuationSeparator/>
      </w:r>
    </w:p>
  </w:footnote>
  <w:footnote w:type="continuationNotice" w:id="1">
    <w:p w14:paraId="7333DCF2" w14:textId="77777777" w:rsidR="00511B6F" w:rsidRDefault="00511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7BF2" w14:textId="0871CDA5" w:rsidR="00653BDF" w:rsidRDefault="00653BDF">
    <w:pPr>
      <w:pStyle w:val="Kopfzeile"/>
    </w:pPr>
    <w:r>
      <w:rPr>
        <w:noProof/>
      </w:rPr>
      <w:drawing>
        <wp:anchor distT="0" distB="0" distL="114300" distR="114300" simplePos="0" relativeHeight="251658240" behindDoc="1" locked="0" layoutInCell="1" allowOverlap="1" wp14:anchorId="10EAD5F0" wp14:editId="4839DD4F">
          <wp:simplePos x="0" y="0"/>
          <wp:positionH relativeFrom="column">
            <wp:posOffset>4783170</wp:posOffset>
          </wp:positionH>
          <wp:positionV relativeFrom="paragraph">
            <wp:posOffset>-116954</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05B"/>
    <w:multiLevelType w:val="multilevel"/>
    <w:tmpl w:val="B92C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C4"/>
    <w:rsid w:val="00050F2E"/>
    <w:rsid w:val="000751E5"/>
    <w:rsid w:val="00095607"/>
    <w:rsid w:val="000F50DF"/>
    <w:rsid w:val="001A2B42"/>
    <w:rsid w:val="001B46F3"/>
    <w:rsid w:val="001B7160"/>
    <w:rsid w:val="001D7793"/>
    <w:rsid w:val="001F198B"/>
    <w:rsid w:val="0023017F"/>
    <w:rsid w:val="002354DC"/>
    <w:rsid w:val="002827FA"/>
    <w:rsid w:val="002B7496"/>
    <w:rsid w:val="002D1EE3"/>
    <w:rsid w:val="003071BE"/>
    <w:rsid w:val="00340ACF"/>
    <w:rsid w:val="00345A77"/>
    <w:rsid w:val="003707AA"/>
    <w:rsid w:val="00386322"/>
    <w:rsid w:val="003A5013"/>
    <w:rsid w:val="003C0AE0"/>
    <w:rsid w:val="003C1300"/>
    <w:rsid w:val="003F30CB"/>
    <w:rsid w:val="00433C4F"/>
    <w:rsid w:val="00441C0C"/>
    <w:rsid w:val="00461ADB"/>
    <w:rsid w:val="004805AF"/>
    <w:rsid w:val="004B3CED"/>
    <w:rsid w:val="004B7032"/>
    <w:rsid w:val="004D1993"/>
    <w:rsid w:val="004E54E0"/>
    <w:rsid w:val="00511B6F"/>
    <w:rsid w:val="00523DCE"/>
    <w:rsid w:val="00523E07"/>
    <w:rsid w:val="005368C1"/>
    <w:rsid w:val="005D6B50"/>
    <w:rsid w:val="00645B28"/>
    <w:rsid w:val="006502F2"/>
    <w:rsid w:val="00653BDF"/>
    <w:rsid w:val="006B314F"/>
    <w:rsid w:val="006D2863"/>
    <w:rsid w:val="00717846"/>
    <w:rsid w:val="00727D9B"/>
    <w:rsid w:val="00783277"/>
    <w:rsid w:val="00785EB3"/>
    <w:rsid w:val="00793C76"/>
    <w:rsid w:val="007C2A82"/>
    <w:rsid w:val="008146C4"/>
    <w:rsid w:val="0086499B"/>
    <w:rsid w:val="008B3BC8"/>
    <w:rsid w:val="008C1789"/>
    <w:rsid w:val="00900F7D"/>
    <w:rsid w:val="0092758B"/>
    <w:rsid w:val="00936BEA"/>
    <w:rsid w:val="009533DE"/>
    <w:rsid w:val="00994B38"/>
    <w:rsid w:val="009E7355"/>
    <w:rsid w:val="00A17FA9"/>
    <w:rsid w:val="00A22252"/>
    <w:rsid w:val="00A23CB0"/>
    <w:rsid w:val="00A56387"/>
    <w:rsid w:val="00A661E8"/>
    <w:rsid w:val="00A914AF"/>
    <w:rsid w:val="00B00AA2"/>
    <w:rsid w:val="00B01724"/>
    <w:rsid w:val="00B017D5"/>
    <w:rsid w:val="00B03D18"/>
    <w:rsid w:val="00B31E3C"/>
    <w:rsid w:val="00B5360B"/>
    <w:rsid w:val="00B945FC"/>
    <w:rsid w:val="00BA7E7F"/>
    <w:rsid w:val="00BC0292"/>
    <w:rsid w:val="00BC531B"/>
    <w:rsid w:val="00C006B2"/>
    <w:rsid w:val="00C02A0C"/>
    <w:rsid w:val="00C10493"/>
    <w:rsid w:val="00C36535"/>
    <w:rsid w:val="00CA56A8"/>
    <w:rsid w:val="00CB29A2"/>
    <w:rsid w:val="00CE693D"/>
    <w:rsid w:val="00D36FA0"/>
    <w:rsid w:val="00D434EE"/>
    <w:rsid w:val="00DC1FDC"/>
    <w:rsid w:val="00DE2E24"/>
    <w:rsid w:val="00DF2254"/>
    <w:rsid w:val="00E10331"/>
    <w:rsid w:val="00E65E7B"/>
    <w:rsid w:val="00EF0C73"/>
    <w:rsid w:val="00F00566"/>
    <w:rsid w:val="00F53E63"/>
    <w:rsid w:val="00F837C9"/>
    <w:rsid w:val="00F866A1"/>
    <w:rsid w:val="00FA42D4"/>
    <w:rsid w:val="00FA7012"/>
    <w:rsid w:val="00FC735A"/>
    <w:rsid w:val="00FD14D1"/>
    <w:rsid w:val="00FF24A7"/>
    <w:rsid w:val="021BDA44"/>
    <w:rsid w:val="03E8E54E"/>
    <w:rsid w:val="058E5076"/>
    <w:rsid w:val="0FD2E85B"/>
    <w:rsid w:val="16B1DA79"/>
    <w:rsid w:val="1870CA33"/>
    <w:rsid w:val="1B0436DA"/>
    <w:rsid w:val="1DF22194"/>
    <w:rsid w:val="226D8C96"/>
    <w:rsid w:val="2593FE1E"/>
    <w:rsid w:val="381102A4"/>
    <w:rsid w:val="3C7BFF37"/>
    <w:rsid w:val="3F7D3698"/>
    <w:rsid w:val="423C44BD"/>
    <w:rsid w:val="4AFE2E4D"/>
    <w:rsid w:val="4D980C17"/>
    <w:rsid w:val="56F3B8A5"/>
    <w:rsid w:val="5874739D"/>
    <w:rsid w:val="5DE41866"/>
    <w:rsid w:val="624E25DC"/>
    <w:rsid w:val="62EA156E"/>
    <w:rsid w:val="631F1665"/>
    <w:rsid w:val="6B6F5F58"/>
    <w:rsid w:val="6C110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2789"/>
  <w15:chartTrackingRefBased/>
  <w15:docId w15:val="{8B6A9E6E-362A-4E82-B262-0EBDE09B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F30C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F30C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F30C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F30CB"/>
    <w:rPr>
      <w:rFonts w:ascii="Times New Roman" w:eastAsia="Times New Roman" w:hAnsi="Times New Roman" w:cs="Times New Roman"/>
      <w:b/>
      <w:bCs/>
      <w:sz w:val="27"/>
      <w:szCs w:val="27"/>
      <w:lang w:eastAsia="de-DE"/>
    </w:rPr>
  </w:style>
  <w:style w:type="character" w:styleId="Kommentarzeichen">
    <w:name w:val="annotation reference"/>
    <w:basedOn w:val="Absatz-Standardschriftart"/>
    <w:uiPriority w:val="99"/>
    <w:semiHidden/>
    <w:unhideWhenUsed/>
    <w:rsid w:val="00441C0C"/>
    <w:rPr>
      <w:sz w:val="16"/>
      <w:szCs w:val="16"/>
    </w:rPr>
  </w:style>
  <w:style w:type="paragraph" w:styleId="Kommentartext">
    <w:name w:val="annotation text"/>
    <w:basedOn w:val="Standard"/>
    <w:link w:val="KommentartextZchn"/>
    <w:uiPriority w:val="99"/>
    <w:semiHidden/>
    <w:unhideWhenUsed/>
    <w:rsid w:val="00441C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1C0C"/>
    <w:rPr>
      <w:sz w:val="20"/>
      <w:szCs w:val="20"/>
    </w:rPr>
  </w:style>
  <w:style w:type="paragraph" w:styleId="Kommentarthema">
    <w:name w:val="annotation subject"/>
    <w:basedOn w:val="Kommentartext"/>
    <w:next w:val="Kommentartext"/>
    <w:link w:val="KommentarthemaZchn"/>
    <w:uiPriority w:val="99"/>
    <w:semiHidden/>
    <w:unhideWhenUsed/>
    <w:rsid w:val="00441C0C"/>
    <w:rPr>
      <w:b/>
      <w:bCs/>
    </w:rPr>
  </w:style>
  <w:style w:type="character" w:customStyle="1" w:styleId="KommentarthemaZchn">
    <w:name w:val="Kommentarthema Zchn"/>
    <w:basedOn w:val="KommentartextZchn"/>
    <w:link w:val="Kommentarthema"/>
    <w:uiPriority w:val="99"/>
    <w:semiHidden/>
    <w:rsid w:val="00441C0C"/>
    <w:rPr>
      <w:b/>
      <w:bCs/>
      <w:sz w:val="20"/>
      <w:szCs w:val="20"/>
    </w:rPr>
  </w:style>
  <w:style w:type="paragraph" w:styleId="Kopfzeile">
    <w:name w:val="header"/>
    <w:basedOn w:val="Standard"/>
    <w:link w:val="KopfzeileZchn"/>
    <w:uiPriority w:val="99"/>
    <w:unhideWhenUsed/>
    <w:rsid w:val="00653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3BDF"/>
  </w:style>
  <w:style w:type="paragraph" w:styleId="Fuzeile">
    <w:name w:val="footer"/>
    <w:basedOn w:val="Standard"/>
    <w:link w:val="FuzeileZchn"/>
    <w:uiPriority w:val="99"/>
    <w:unhideWhenUsed/>
    <w:rsid w:val="00653B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3BDF"/>
  </w:style>
  <w:style w:type="character" w:styleId="Hyperlink">
    <w:name w:val="Hyperlink"/>
    <w:basedOn w:val="Absatz-Standardschriftart"/>
    <w:uiPriority w:val="99"/>
    <w:unhideWhenUsed/>
    <w:rsid w:val="00095607"/>
    <w:rPr>
      <w:rFonts w:cs="Times New Roman"/>
      <w:color w:val="0563C1" w:themeColor="hyperlink"/>
      <w:u w:val="single"/>
    </w:rPr>
  </w:style>
  <w:style w:type="character" w:styleId="NichtaufgelsteErwhnung">
    <w:name w:val="Unresolved Mention"/>
    <w:basedOn w:val="Absatz-Standardschriftart"/>
    <w:uiPriority w:val="99"/>
    <w:semiHidden/>
    <w:unhideWhenUsed/>
    <w:rsid w:val="00095607"/>
    <w:rPr>
      <w:color w:val="605E5C"/>
      <w:shd w:val="clear" w:color="auto" w:fill="E1DFDD"/>
    </w:rPr>
  </w:style>
  <w:style w:type="paragraph" w:styleId="berarbeitung">
    <w:name w:val="Revision"/>
    <w:hidden/>
    <w:uiPriority w:val="99"/>
    <w:semiHidden/>
    <w:rsid w:val="00340ACF"/>
    <w:pPr>
      <w:spacing w:after="0" w:line="240" w:lineRule="auto"/>
    </w:pPr>
  </w:style>
  <w:style w:type="character" w:styleId="BesuchterLink">
    <w:name w:val="FollowedHyperlink"/>
    <w:basedOn w:val="Absatz-Standardschriftart"/>
    <w:uiPriority w:val="99"/>
    <w:semiHidden/>
    <w:unhideWhenUsed/>
    <w:rsid w:val="009E7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deConnect" TargetMode="External"/><Relationship Id="rId18" Type="http://schemas.openxmlformats.org/officeDocument/2006/relationships/hyperlink" Target="http://www.epr-online.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nkedin.com/company/tde-trans-data-elektronik-gmbh/" TargetMode="External"/><Relationship Id="rId17" Type="http://schemas.openxmlformats.org/officeDocument/2006/relationships/hyperlink" Target="mailto:fs@epr-online.de" TargetMode="External"/><Relationship Id="rId2" Type="http://schemas.openxmlformats.org/officeDocument/2006/relationships/customXml" Target="../customXml/item2.xml"/><Relationship Id="rId16" Type="http://schemas.openxmlformats.org/officeDocument/2006/relationships/hyperlink" Target="http://www.tde.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e.de/en/" TargetMode="External"/><Relationship Id="rId5" Type="http://schemas.openxmlformats.org/officeDocument/2006/relationships/numbering" Target="numbering.xml"/><Relationship Id="rId15" Type="http://schemas.openxmlformats.org/officeDocument/2006/relationships/hyperlink" Target="mailto:info@tde.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ing.com/companies/tde-transdataelektronikgmbh/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4DC85D93DBFEE42B167302784AF3136" ma:contentTypeVersion="9" ma:contentTypeDescription="Ein neues Dokument erstellen." ma:contentTypeScope="" ma:versionID="18049867a0d4ad04386ecec2e339f205">
  <xsd:schema xmlns:xsd="http://www.w3.org/2001/XMLSchema" xmlns:xs="http://www.w3.org/2001/XMLSchema" xmlns:p="http://schemas.microsoft.com/office/2006/metadata/properties" xmlns:ns2="21d008f3-56b8-419d-a892-f5b054e1d802" targetNamespace="http://schemas.microsoft.com/office/2006/metadata/properties" ma:root="true" ma:fieldsID="b21cb3a4e65ef7ed3cab8e15ffed4121" ns2:_="">
    <xsd:import namespace="21d008f3-56b8-419d-a892-f5b054e1d8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008f3-56b8-419d-a892-f5b054e1d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6EAFB-0098-4955-A293-0E8C104E0F9C}">
  <ds:schemaRefs>
    <ds:schemaRef ds:uri="http://schemas.microsoft.com/office/2006/metadata/properties"/>
    <ds:schemaRef ds:uri="http://purl.org/dc/elements/1.1/"/>
    <ds:schemaRef ds:uri="http://schemas.microsoft.com/office/2006/documentManagement/types"/>
    <ds:schemaRef ds:uri="21d008f3-56b8-419d-a892-f5b054e1d802"/>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E87B992-EE15-4EB2-BF76-6AEEEF3ECB2B}">
  <ds:schemaRefs>
    <ds:schemaRef ds:uri="http://schemas.openxmlformats.org/officeDocument/2006/bibliography"/>
  </ds:schemaRefs>
</ds:datastoreItem>
</file>

<file path=customXml/itemProps3.xml><?xml version="1.0" encoding="utf-8"?>
<ds:datastoreItem xmlns:ds="http://schemas.openxmlformats.org/officeDocument/2006/customXml" ds:itemID="{D2D43F39-9081-4006-97DB-37DC3291524F}">
  <ds:schemaRefs>
    <ds:schemaRef ds:uri="http://schemas.microsoft.com/sharepoint/v3/contenttype/forms"/>
  </ds:schemaRefs>
</ds:datastoreItem>
</file>

<file path=customXml/itemProps4.xml><?xml version="1.0" encoding="utf-8"?>
<ds:datastoreItem xmlns:ds="http://schemas.openxmlformats.org/officeDocument/2006/customXml" ds:itemID="{33528AC0-0E57-43C5-A33F-C11C24F1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008f3-56b8-419d-a892-f5b054e1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2</cp:revision>
  <dcterms:created xsi:type="dcterms:W3CDTF">2022-01-12T08:18:00Z</dcterms:created>
  <dcterms:modified xsi:type="dcterms:W3CDTF">2022-01-12T08:18:00Z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0x01010024DC85D93DBFEE42B167302784AF3136</vt:lpwstr>
  </property>
</Properties>
</file>