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7737" w:rsidR="00986D29" w:rsidP="00986D29" w:rsidRDefault="00986D29" w14:paraId="5D7F33ED" w14:textId="0CA7D57E">
      <w:pPr>
        <w:spacing w:line="360" w:lineRule="auto"/>
        <w:jc w:val="right"/>
        <w:rPr>
          <w:b/>
          <w:bCs/>
          <w:u w:val="single"/>
          <w:lang w:val="en-US"/>
        </w:rPr>
      </w:pPr>
      <w:r w:rsidRPr="00637737">
        <w:rPr>
          <w:rFonts w:ascii="Verdana" w:hAnsi="Verdana" w:cs="Verdana"/>
          <w:color w:val="808080"/>
          <w:sz w:val="20"/>
          <w:szCs w:val="20"/>
          <w:lang w:val="en-US"/>
        </w:rPr>
        <w:t>Press</w:t>
      </w:r>
      <w:r w:rsidRPr="00637737" w:rsidR="007E75AD">
        <w:rPr>
          <w:rFonts w:ascii="Verdana" w:hAnsi="Verdana" w:cs="Verdana"/>
          <w:color w:val="808080"/>
          <w:sz w:val="20"/>
          <w:szCs w:val="20"/>
          <w:lang w:val="en-US"/>
        </w:rPr>
        <w:t xml:space="preserve"> r</w:t>
      </w:r>
      <w:r w:rsidRPr="00637737">
        <w:rPr>
          <w:rFonts w:ascii="Verdana" w:hAnsi="Verdana" w:cs="Verdana"/>
          <w:color w:val="808080"/>
          <w:sz w:val="20"/>
          <w:szCs w:val="20"/>
          <w:lang w:val="en-US"/>
        </w:rPr>
        <w:t>e</w:t>
      </w:r>
      <w:r w:rsidRPr="00637737" w:rsidR="007E75AD">
        <w:rPr>
          <w:rFonts w:ascii="Verdana" w:hAnsi="Verdana" w:cs="Verdana"/>
          <w:color w:val="808080"/>
          <w:sz w:val="20"/>
          <w:szCs w:val="20"/>
          <w:lang w:val="en-US"/>
        </w:rPr>
        <w:t>lease</w:t>
      </w:r>
    </w:p>
    <w:p w:rsidRPr="00BC5B49" w:rsidR="007E75AD" w:rsidP="00030B21" w:rsidRDefault="007E75AD" w14:paraId="2BBE3C6F" w14:textId="60005149">
      <w:pPr>
        <w:widowControl w:val="0"/>
        <w:autoSpaceDE w:val="0"/>
        <w:autoSpaceDN w:val="0"/>
        <w:adjustRightInd w:val="0"/>
        <w:ind w:right="-6"/>
        <w:rPr>
          <w:rFonts w:ascii="Calibri-Bold" w:hAnsi="Calibri-Bold" w:cs="Calibri-Bold"/>
          <w:b/>
          <w:bCs/>
          <w:u w:val="single"/>
          <w:lang w:val="en-GB"/>
        </w:rPr>
      </w:pPr>
      <w:r w:rsidRPr="00BC5B49">
        <w:rPr>
          <w:rFonts w:ascii="Calibri-Bold" w:hAnsi="Calibri-Bold" w:cs="Calibri-Bold"/>
          <w:b/>
          <w:bCs/>
          <w:u w:val="single"/>
          <w:lang w:val="en-GB"/>
        </w:rPr>
        <w:t>Modern design, single-piece construction, reduced assembly effort</w:t>
      </w:r>
    </w:p>
    <w:p w:rsidRPr="007E75AD" w:rsidR="007E75AD" w:rsidP="00030B21" w:rsidRDefault="007E75AD" w14:paraId="23677F3F" w14:textId="326C106D">
      <w:pPr>
        <w:widowControl w:val="0"/>
        <w:autoSpaceDE w:val="0"/>
        <w:autoSpaceDN w:val="0"/>
        <w:adjustRightInd w:val="0"/>
        <w:ind w:right="-6"/>
        <w:rPr>
          <w:rFonts w:ascii="Calibri-Bold" w:hAnsi="Calibri-Bold" w:cs="Calibri-Bold"/>
          <w:b/>
          <w:bCs/>
          <w:sz w:val="36"/>
          <w:szCs w:val="36"/>
          <w:lang w:val="en-US"/>
        </w:rPr>
      </w:pPr>
      <w:r w:rsidRPr="007E75AD">
        <w:rPr>
          <w:rFonts w:ascii="Calibri-Bold" w:hAnsi="Calibri-Bold" w:cs="Calibri-Bold"/>
          <w:b/>
          <w:bCs/>
          <w:sz w:val="36"/>
          <w:szCs w:val="36"/>
          <w:lang w:val="en-US"/>
        </w:rPr>
        <w:t xml:space="preserve">tde presents redesign of tML </w:t>
      </w:r>
      <w:r>
        <w:rPr>
          <w:rFonts w:ascii="Calibri-Bold" w:hAnsi="Calibri-Bold" w:cs="Calibri-Bold"/>
          <w:b/>
          <w:bCs/>
          <w:sz w:val="36"/>
          <w:szCs w:val="36"/>
          <w:lang w:val="en-US"/>
        </w:rPr>
        <w:t xml:space="preserve">rack mount enclosure </w:t>
      </w:r>
      <w:r w:rsidRPr="007E75AD">
        <w:rPr>
          <w:rFonts w:ascii="Calibri-Bold" w:hAnsi="Calibri-Bold" w:cs="Calibri-Bold"/>
          <w:b/>
          <w:bCs/>
          <w:sz w:val="36"/>
          <w:szCs w:val="36"/>
          <w:lang w:val="en-US"/>
        </w:rPr>
        <w:t>for fixed installation</w:t>
      </w:r>
    </w:p>
    <w:p w:rsidRPr="00B6005C" w:rsidR="00B6005C" w:rsidP="0042686A" w:rsidRDefault="00B6005C" w14:paraId="1D8F3335" w14:textId="7E9F19B4">
      <w:pPr>
        <w:spacing w:line="360" w:lineRule="auto"/>
        <w:rPr>
          <w:b w:val="1"/>
          <w:bCs w:val="1"/>
          <w:lang w:val="en-US"/>
        </w:rPr>
      </w:pPr>
      <w:r w:rsidRPr="1B19DA49" w:rsidR="00B6005C">
        <w:rPr>
          <w:b w:val="1"/>
          <w:bCs w:val="1"/>
          <w:lang w:val="en-US"/>
        </w:rPr>
        <w:t>Dortmund</w:t>
      </w:r>
      <w:r w:rsidRPr="1B19DA49" w:rsidR="00B6005C">
        <w:rPr>
          <w:b w:val="1"/>
          <w:bCs w:val="1"/>
          <w:lang w:val="en-US"/>
        </w:rPr>
        <w:t>/Germany</w:t>
      </w:r>
      <w:r w:rsidRPr="1B19DA49" w:rsidR="00B6005C">
        <w:rPr>
          <w:b w:val="1"/>
          <w:bCs w:val="1"/>
          <w:lang w:val="en-US"/>
        </w:rPr>
        <w:t xml:space="preserve">, </w:t>
      </w:r>
      <w:r w:rsidRPr="1B19DA49" w:rsidR="00B6005C">
        <w:rPr>
          <w:b w:val="1"/>
          <w:bCs w:val="1"/>
          <w:lang w:val="en-US"/>
        </w:rPr>
        <w:t>September</w:t>
      </w:r>
      <w:r w:rsidRPr="1B19DA49" w:rsidR="254DB88B">
        <w:rPr>
          <w:b w:val="1"/>
          <w:bCs w:val="1"/>
          <w:lang w:val="en-US"/>
        </w:rPr>
        <w:t xml:space="preserve"> 21,</w:t>
      </w:r>
      <w:r w:rsidRPr="1B19DA49" w:rsidR="00B6005C">
        <w:rPr>
          <w:b w:val="1"/>
          <w:bCs w:val="1"/>
          <w:lang w:val="en-US"/>
        </w:rPr>
        <w:t xml:space="preserve"> 2021. The network specialist </w:t>
      </w:r>
      <w:proofErr w:type="spellStart"/>
      <w:r w:rsidRPr="1B19DA49" w:rsidR="00B6005C">
        <w:rPr>
          <w:b w:val="1"/>
          <w:bCs w:val="1"/>
          <w:lang w:val="en-US"/>
        </w:rPr>
        <w:t>tde</w:t>
      </w:r>
      <w:proofErr w:type="spellEnd"/>
      <w:r w:rsidRPr="1B19DA49" w:rsidR="00B6005C">
        <w:rPr>
          <w:b w:val="1"/>
          <w:bCs w:val="1"/>
          <w:lang w:val="en-US"/>
        </w:rPr>
        <w:t xml:space="preserve"> </w:t>
      </w:r>
      <w:r w:rsidRPr="1B19DA49" w:rsidR="00BC5B49">
        <w:rPr>
          <w:b w:val="1"/>
          <w:bCs w:val="1"/>
          <w:lang w:val="en-US"/>
        </w:rPr>
        <w:t>–</w:t>
      </w:r>
      <w:r w:rsidRPr="1B19DA49" w:rsidR="00B6005C">
        <w:rPr>
          <w:b w:val="1"/>
          <w:bCs w:val="1"/>
          <w:lang w:val="en-US"/>
        </w:rPr>
        <w:t xml:space="preserve"> trans data </w:t>
      </w:r>
      <w:proofErr w:type="spellStart"/>
      <w:r w:rsidRPr="1B19DA49" w:rsidR="00B6005C">
        <w:rPr>
          <w:b w:val="1"/>
          <w:bCs w:val="1"/>
          <w:lang w:val="en-US"/>
        </w:rPr>
        <w:t>elektronik</w:t>
      </w:r>
      <w:proofErr w:type="spellEnd"/>
      <w:r w:rsidRPr="1B19DA49" w:rsidR="00B6005C">
        <w:rPr>
          <w:b w:val="1"/>
          <w:bCs w:val="1"/>
          <w:lang w:val="en-US"/>
        </w:rPr>
        <w:t xml:space="preserve"> has fundamentally re</w:t>
      </w:r>
      <w:r w:rsidRPr="1B19DA49" w:rsidR="00B6005C">
        <w:rPr>
          <w:b w:val="1"/>
          <w:bCs w:val="1"/>
          <w:lang w:val="en-US"/>
        </w:rPr>
        <w:t xml:space="preserve">designed </w:t>
      </w:r>
      <w:r w:rsidRPr="1B19DA49" w:rsidR="00B6005C">
        <w:rPr>
          <w:b w:val="1"/>
          <w:bCs w:val="1"/>
          <w:lang w:val="en-US"/>
        </w:rPr>
        <w:t xml:space="preserve">its 19-inch </w:t>
      </w:r>
      <w:proofErr w:type="spellStart"/>
      <w:r w:rsidRPr="1B19DA49" w:rsidR="00B6005C">
        <w:rPr>
          <w:b w:val="1"/>
          <w:bCs w:val="1"/>
          <w:lang w:val="en-US"/>
        </w:rPr>
        <w:t>tML</w:t>
      </w:r>
      <w:proofErr w:type="spellEnd"/>
      <w:r w:rsidRPr="1B19DA49" w:rsidR="00B6005C">
        <w:rPr>
          <w:b w:val="1"/>
          <w:bCs w:val="1"/>
          <w:lang w:val="en-US"/>
        </w:rPr>
        <w:t xml:space="preserve"> </w:t>
      </w:r>
      <w:r w:rsidRPr="1B19DA49" w:rsidR="00B6005C">
        <w:rPr>
          <w:b w:val="1"/>
          <w:bCs w:val="1"/>
          <w:lang w:val="en-US"/>
        </w:rPr>
        <w:t xml:space="preserve">rack mount enclosure </w:t>
      </w:r>
      <w:r w:rsidRPr="1B19DA49" w:rsidR="00B6005C">
        <w:rPr>
          <w:b w:val="1"/>
          <w:bCs w:val="1"/>
          <w:lang w:val="en-US"/>
        </w:rPr>
        <w:t xml:space="preserve">for fixed installation: </w:t>
      </w:r>
      <w:r w:rsidRPr="1B19DA49" w:rsidR="00BC5B49">
        <w:rPr>
          <w:b w:val="1"/>
          <w:bCs w:val="1"/>
          <w:lang w:val="en-US"/>
        </w:rPr>
        <w:t>t</w:t>
      </w:r>
      <w:r w:rsidRPr="1B19DA49" w:rsidR="00B6005C">
        <w:rPr>
          <w:b w:val="1"/>
          <w:bCs w:val="1"/>
          <w:lang w:val="en-US"/>
        </w:rPr>
        <w:t xml:space="preserve">he new model not only has a modern design, but also offers improved functionality. The </w:t>
      </w:r>
      <w:proofErr w:type="spellStart"/>
      <w:r w:rsidRPr="1B19DA49" w:rsidR="00B6005C">
        <w:rPr>
          <w:b w:val="1"/>
          <w:bCs w:val="1"/>
          <w:lang w:val="en-US"/>
        </w:rPr>
        <w:t>tML</w:t>
      </w:r>
      <w:proofErr w:type="spellEnd"/>
      <w:r w:rsidRPr="1B19DA49" w:rsidR="00B6005C">
        <w:rPr>
          <w:b w:val="1"/>
          <w:bCs w:val="1"/>
          <w:lang w:val="en-US"/>
        </w:rPr>
        <w:t xml:space="preserve"> </w:t>
      </w:r>
      <w:r w:rsidRPr="1B19DA49" w:rsidR="00B6005C">
        <w:rPr>
          <w:b w:val="1"/>
          <w:bCs w:val="1"/>
          <w:lang w:val="en-US"/>
        </w:rPr>
        <w:t xml:space="preserve">rack mount enclosure </w:t>
      </w:r>
      <w:r w:rsidRPr="1B19DA49" w:rsidR="00B6005C">
        <w:rPr>
          <w:b w:val="1"/>
          <w:bCs w:val="1"/>
          <w:lang w:val="en-US"/>
        </w:rPr>
        <w:t xml:space="preserve">has a capacity of up to eight modules from the </w:t>
      </w:r>
      <w:proofErr w:type="spellStart"/>
      <w:r w:rsidRPr="1B19DA49" w:rsidR="00B6005C">
        <w:rPr>
          <w:b w:val="1"/>
          <w:bCs w:val="1"/>
          <w:lang w:val="en-US"/>
        </w:rPr>
        <w:t>tML</w:t>
      </w:r>
      <w:proofErr w:type="spellEnd"/>
      <w:r w:rsidRPr="1B19DA49" w:rsidR="00B6005C">
        <w:rPr>
          <w:b w:val="1"/>
          <w:bCs w:val="1"/>
          <w:lang w:val="en-US"/>
        </w:rPr>
        <w:t xml:space="preserve">-Standard, </w:t>
      </w:r>
      <w:proofErr w:type="spellStart"/>
      <w:r w:rsidRPr="1B19DA49" w:rsidR="00B6005C">
        <w:rPr>
          <w:b w:val="1"/>
          <w:bCs w:val="1"/>
          <w:lang w:val="en-US"/>
        </w:rPr>
        <w:t>tML-Xtended</w:t>
      </w:r>
      <w:proofErr w:type="spellEnd"/>
      <w:r w:rsidRPr="1B19DA49" w:rsidR="00B6005C">
        <w:rPr>
          <w:b w:val="1"/>
          <w:bCs w:val="1"/>
          <w:lang w:val="en-US"/>
        </w:rPr>
        <w:t xml:space="preserve">, tML-24 and tML-32 product ranges. When fully equipped, it offers space on a 19-inch height unit for 96x </w:t>
      </w:r>
      <w:proofErr w:type="spellStart"/>
      <w:r w:rsidRPr="1B19DA49" w:rsidR="00B6005C">
        <w:rPr>
          <w:b w:val="1"/>
          <w:bCs w:val="1"/>
          <w:lang w:val="en-US"/>
        </w:rPr>
        <w:t>fibre</w:t>
      </w:r>
      <w:proofErr w:type="spellEnd"/>
      <w:r w:rsidRPr="1B19DA49" w:rsidR="00B6005C">
        <w:rPr>
          <w:b w:val="1"/>
          <w:bCs w:val="1"/>
          <w:lang w:val="en-US"/>
        </w:rPr>
        <w:t xml:space="preserve"> optic LC duplex ports with 192 </w:t>
      </w:r>
      <w:proofErr w:type="spellStart"/>
      <w:r w:rsidRPr="1B19DA49" w:rsidR="00B6005C">
        <w:rPr>
          <w:b w:val="1"/>
          <w:bCs w:val="1"/>
          <w:lang w:val="en-US"/>
        </w:rPr>
        <w:t>fibres</w:t>
      </w:r>
      <w:proofErr w:type="spellEnd"/>
      <w:r w:rsidRPr="1B19DA49" w:rsidR="00B6005C">
        <w:rPr>
          <w:b w:val="1"/>
          <w:bCs w:val="1"/>
          <w:lang w:val="en-US"/>
        </w:rPr>
        <w:t xml:space="preserve">, 96x 12-fibre MPOs with 1152 </w:t>
      </w:r>
      <w:proofErr w:type="spellStart"/>
      <w:r w:rsidRPr="1B19DA49" w:rsidR="00B6005C">
        <w:rPr>
          <w:b w:val="1"/>
          <w:bCs w:val="1"/>
          <w:lang w:val="en-US"/>
        </w:rPr>
        <w:t>fibres</w:t>
      </w:r>
      <w:proofErr w:type="spellEnd"/>
      <w:r w:rsidRPr="1B19DA49" w:rsidR="00B6005C">
        <w:rPr>
          <w:b w:val="1"/>
          <w:bCs w:val="1"/>
          <w:lang w:val="en-US"/>
        </w:rPr>
        <w:t xml:space="preserve"> or 96x 24-fibre MPOs with 2304 </w:t>
      </w:r>
      <w:proofErr w:type="spellStart"/>
      <w:r w:rsidRPr="1B19DA49" w:rsidR="00B6005C">
        <w:rPr>
          <w:b w:val="1"/>
          <w:bCs w:val="1"/>
          <w:lang w:val="en-US"/>
        </w:rPr>
        <w:t>fibres</w:t>
      </w:r>
      <w:proofErr w:type="spellEnd"/>
      <w:r w:rsidRPr="1B19DA49" w:rsidR="00B6005C">
        <w:rPr>
          <w:b w:val="1"/>
          <w:bCs w:val="1"/>
          <w:lang w:val="en-US"/>
        </w:rPr>
        <w:t xml:space="preserve">. In combination with the </w:t>
      </w:r>
      <w:proofErr w:type="spellStart"/>
      <w:r w:rsidRPr="1B19DA49" w:rsidR="00B6005C">
        <w:rPr>
          <w:b w:val="1"/>
          <w:bCs w:val="1"/>
          <w:lang w:val="en-US"/>
        </w:rPr>
        <w:t>fibre</w:t>
      </w:r>
      <w:proofErr w:type="spellEnd"/>
      <w:r w:rsidRPr="1B19DA49" w:rsidR="00B6005C">
        <w:rPr>
          <w:b w:val="1"/>
          <w:bCs w:val="1"/>
          <w:lang w:val="en-US"/>
        </w:rPr>
        <w:t xml:space="preserve"> optic MDC module, the </w:t>
      </w:r>
      <w:r w:rsidRPr="1B19DA49" w:rsidR="00B6005C">
        <w:rPr>
          <w:b w:val="1"/>
          <w:bCs w:val="1"/>
          <w:lang w:val="en-US"/>
        </w:rPr>
        <w:t xml:space="preserve">rack mount enclosure </w:t>
      </w:r>
      <w:r w:rsidRPr="1B19DA49" w:rsidR="00B6005C">
        <w:rPr>
          <w:b w:val="1"/>
          <w:bCs w:val="1"/>
          <w:lang w:val="en-US"/>
        </w:rPr>
        <w:t>achieves a doubling of the packing density compared to LC duplex and, in combination with the innovative tML-24, offers the industry's highest packing density and greatest flexibility when migrating to high transmission rates.</w:t>
      </w:r>
    </w:p>
    <w:p w:rsidRPr="00F00728" w:rsidR="0006397F" w:rsidP="0042686A" w:rsidRDefault="0006397F" w14:paraId="37089F7F" w14:textId="7DC954E6">
      <w:pPr>
        <w:spacing w:line="360" w:lineRule="auto"/>
        <w:rPr>
          <w:lang w:val="en-US"/>
        </w:rPr>
      </w:pPr>
      <w:r w:rsidRPr="0006397F">
        <w:rPr>
          <w:lang w:val="en-US"/>
        </w:rPr>
        <w:t xml:space="preserve">The network specialist has adapted the design to the extendable </w:t>
      </w:r>
      <w:r>
        <w:rPr>
          <w:lang w:val="en-US"/>
        </w:rPr>
        <w:t xml:space="preserve">rack mount enclosure </w:t>
      </w:r>
      <w:r w:rsidRPr="0006397F">
        <w:rPr>
          <w:lang w:val="en-US"/>
        </w:rPr>
        <w:t xml:space="preserve">that has been successful on the market since 2017. Compared to the predecessor model, the </w:t>
      </w:r>
      <w:r w:rsidR="005E6B77">
        <w:rPr>
          <w:lang w:val="en-US"/>
        </w:rPr>
        <w:t xml:space="preserve">module </w:t>
      </w:r>
      <w:r w:rsidRPr="005E6B77">
        <w:rPr>
          <w:lang w:val="en-US"/>
        </w:rPr>
        <w:t>carrier</w:t>
      </w:r>
      <w:r w:rsidRPr="0006397F">
        <w:rPr>
          <w:lang w:val="en-US"/>
        </w:rPr>
        <w:t xml:space="preserve">, in which the modules are </w:t>
      </w:r>
      <w:r>
        <w:rPr>
          <w:lang w:val="en-US"/>
        </w:rPr>
        <w:t xml:space="preserve">mounted </w:t>
      </w:r>
      <w:r w:rsidRPr="0006397F">
        <w:rPr>
          <w:lang w:val="en-US"/>
        </w:rPr>
        <w:t xml:space="preserve">with screws in the front panel, looks much more modern. The stable </w:t>
      </w:r>
      <w:r w:rsidR="005E6B77">
        <w:rPr>
          <w:lang w:val="en-US"/>
        </w:rPr>
        <w:t xml:space="preserve">module </w:t>
      </w:r>
      <w:r w:rsidRPr="005E6B77">
        <w:rPr>
          <w:lang w:val="en-US"/>
        </w:rPr>
        <w:t>carrier h</w:t>
      </w:r>
      <w:r w:rsidRPr="0006397F">
        <w:rPr>
          <w:lang w:val="en-US"/>
        </w:rPr>
        <w:t xml:space="preserve">as a </w:t>
      </w:r>
      <w:r>
        <w:rPr>
          <w:lang w:val="en-US"/>
        </w:rPr>
        <w:t>single-piece</w:t>
      </w:r>
      <w:r w:rsidRPr="0006397F">
        <w:rPr>
          <w:lang w:val="en-US"/>
        </w:rPr>
        <w:t xml:space="preserve"> design. "Additional parts, such as entries for breakout cables, are not necessary </w:t>
      </w:r>
      <w:r w:rsidR="00EC1B08">
        <w:rPr>
          <w:lang w:val="en-US"/>
        </w:rPr>
        <w:t>–</w:t>
      </w:r>
      <w:r w:rsidRPr="0006397F">
        <w:rPr>
          <w:lang w:val="en-US"/>
        </w:rPr>
        <w:t xml:space="preserve"> these are already integrated at the rear across the entire width," explains André Engel, Managing Director of tde. </w:t>
      </w:r>
      <w:r w:rsidRPr="00F00728">
        <w:rPr>
          <w:lang w:val="en-US"/>
        </w:rPr>
        <w:t xml:space="preserve">"This saves network technicians time </w:t>
      </w:r>
      <w:r w:rsidRPr="00F00728" w:rsidR="00E506F8">
        <w:rPr>
          <w:lang w:val="en-US"/>
        </w:rPr>
        <w:t>when assembling on site</w:t>
      </w:r>
      <w:r w:rsidRPr="00F00728">
        <w:rPr>
          <w:lang w:val="en-US"/>
        </w:rPr>
        <w:t>."</w:t>
      </w:r>
    </w:p>
    <w:p w:rsidRPr="00E506F8" w:rsidR="00E506F8" w:rsidP="0042686A" w:rsidRDefault="00E506F8" w14:paraId="661DAF12" w14:textId="0A054AB2">
      <w:pPr>
        <w:spacing w:line="360" w:lineRule="auto"/>
        <w:rPr>
          <w:lang w:val="en-US"/>
        </w:rPr>
      </w:pPr>
      <w:r w:rsidRPr="00E506F8">
        <w:rPr>
          <w:lang w:val="en-US"/>
        </w:rPr>
        <w:t xml:space="preserve">To further reduce valuable installation times, the </w:t>
      </w:r>
      <w:r w:rsidR="00924FA4">
        <w:rPr>
          <w:lang w:val="en-US"/>
        </w:rPr>
        <w:t>well-designed</w:t>
      </w:r>
      <w:r w:rsidRPr="00E506F8" w:rsidR="00924FA4">
        <w:rPr>
          <w:lang w:val="en-US"/>
        </w:rPr>
        <w:t xml:space="preserve"> </w:t>
      </w:r>
      <w:r w:rsidRPr="00E506F8">
        <w:rPr>
          <w:lang w:val="en-US"/>
        </w:rPr>
        <w:t xml:space="preserve">cover with integrated patch cable routing, </w:t>
      </w:r>
      <w:r w:rsidR="00AC7D62">
        <w:rPr>
          <w:lang w:val="en-US"/>
        </w:rPr>
        <w:t>already known</w:t>
      </w:r>
      <w:r w:rsidRPr="00E506F8" w:rsidR="00AC7D62">
        <w:rPr>
          <w:lang w:val="en-US"/>
        </w:rPr>
        <w:t xml:space="preserve"> </w:t>
      </w:r>
      <w:r w:rsidRPr="00E506F8">
        <w:rPr>
          <w:lang w:val="en-US"/>
        </w:rPr>
        <w:t xml:space="preserve">from the pull-out </w:t>
      </w:r>
      <w:r>
        <w:rPr>
          <w:lang w:val="en-US"/>
        </w:rPr>
        <w:t>rack mount enclosure</w:t>
      </w:r>
      <w:r w:rsidRPr="00E506F8">
        <w:rPr>
          <w:lang w:val="en-US"/>
        </w:rPr>
        <w:t xml:space="preserve">, can also be used. It improves horizontal patch cable </w:t>
      </w:r>
      <w:r>
        <w:rPr>
          <w:lang w:val="en-US"/>
        </w:rPr>
        <w:t xml:space="preserve">management </w:t>
      </w:r>
      <w:r w:rsidRPr="00E506F8">
        <w:rPr>
          <w:lang w:val="en-US"/>
        </w:rPr>
        <w:t xml:space="preserve">and provides access protection for the ports. At the same time, network technicians </w:t>
      </w:r>
      <w:r w:rsidR="00DE1913">
        <w:rPr>
          <w:lang w:val="en-US"/>
        </w:rPr>
        <w:t xml:space="preserve">are able </w:t>
      </w:r>
      <w:r w:rsidR="00590173">
        <w:rPr>
          <w:lang w:val="en-US"/>
        </w:rPr>
        <w:t>to label</w:t>
      </w:r>
      <w:r w:rsidRPr="00E506F8">
        <w:rPr>
          <w:lang w:val="en-US"/>
        </w:rPr>
        <w:t xml:space="preserve"> the magnetic labelling strip and neatly document</w:t>
      </w:r>
      <w:r w:rsidR="00DE1913">
        <w:rPr>
          <w:lang w:val="en-US"/>
        </w:rPr>
        <w:t xml:space="preserve"> </w:t>
      </w:r>
      <w:r w:rsidRPr="00E506F8">
        <w:rPr>
          <w:lang w:val="en-US"/>
        </w:rPr>
        <w:t xml:space="preserve">the cabling. With the new tML </w:t>
      </w:r>
      <w:r>
        <w:rPr>
          <w:lang w:val="en-US"/>
        </w:rPr>
        <w:t xml:space="preserve">rack mount enclosure </w:t>
      </w:r>
      <w:r w:rsidRPr="00E506F8">
        <w:rPr>
          <w:lang w:val="en-US"/>
        </w:rPr>
        <w:t xml:space="preserve">for fixed installation, customers benefit from improved functionality and price stability at the same time: the new </w:t>
      </w:r>
      <w:r>
        <w:rPr>
          <w:lang w:val="en-US"/>
        </w:rPr>
        <w:t xml:space="preserve">rack mount enclosure </w:t>
      </w:r>
      <w:r w:rsidRPr="00E506F8">
        <w:rPr>
          <w:lang w:val="en-US"/>
        </w:rPr>
        <w:t>is no more expensive than the previous version.</w:t>
      </w:r>
    </w:p>
    <w:p w:rsidRPr="00E506F8" w:rsidR="007B73CA" w:rsidRDefault="007B73CA" w14:paraId="6D5F3F8E" w14:textId="77777777">
      <w:pPr>
        <w:spacing w:after="160" w:line="259" w:lineRule="auto"/>
        <w:rPr>
          <w:i/>
          <w:iCs/>
          <w:lang w:val="en-US"/>
        </w:rPr>
      </w:pPr>
      <w:r w:rsidRPr="00E506F8">
        <w:rPr>
          <w:i/>
          <w:iCs/>
          <w:lang w:val="en-US"/>
        </w:rPr>
        <w:br w:type="page"/>
      </w:r>
    </w:p>
    <w:p w:rsidRPr="00BC5B49" w:rsidR="0038774A" w:rsidP="0038774A" w:rsidRDefault="0038774A" w14:paraId="14EE3B9E" w14:textId="7531BEE9">
      <w:pPr>
        <w:spacing w:after="160" w:line="259" w:lineRule="auto"/>
        <w:rPr>
          <w:i/>
          <w:iCs/>
          <w:lang w:val="en-GB"/>
        </w:rPr>
      </w:pPr>
      <w:r w:rsidRPr="00BC5B49">
        <w:rPr>
          <w:i/>
          <w:iCs/>
          <w:lang w:val="en-GB"/>
        </w:rPr>
        <w:lastRenderedPageBreak/>
        <w:t>Highest packing density</w:t>
      </w:r>
    </w:p>
    <w:p w:rsidRPr="00BC5B49" w:rsidR="0038774A" w:rsidP="0038774A" w:rsidRDefault="0038774A" w14:paraId="1075EDDA" w14:textId="15184544">
      <w:pPr>
        <w:spacing w:after="160" w:line="360" w:lineRule="auto"/>
        <w:rPr>
          <w:lang w:val="en-GB"/>
        </w:rPr>
      </w:pPr>
      <w:r w:rsidRPr="0038774A">
        <w:rPr>
          <w:lang w:val="en-US"/>
        </w:rPr>
        <w:t>Like the extendable ra</w:t>
      </w:r>
      <w:r>
        <w:rPr>
          <w:lang w:val="en-US"/>
        </w:rPr>
        <w:t>ck mount enclosure</w:t>
      </w:r>
      <w:r w:rsidRPr="0038774A">
        <w:rPr>
          <w:lang w:val="en-US"/>
        </w:rPr>
        <w:t xml:space="preserve">, the new tML </w:t>
      </w:r>
      <w:r>
        <w:rPr>
          <w:lang w:val="en-US"/>
        </w:rPr>
        <w:t xml:space="preserve">rack mount enclosure </w:t>
      </w:r>
      <w:r w:rsidRPr="0038774A">
        <w:rPr>
          <w:lang w:val="en-US"/>
        </w:rPr>
        <w:t xml:space="preserve">for fixed installation in conjunction with the tML system platforms scores with maximum packing densities and the greatest flexibility in the migration to high transmission rates of currently 400 G: when fully equipped with eight modules, the new 19-inch tML rack </w:t>
      </w:r>
      <w:r>
        <w:rPr>
          <w:lang w:val="en-US"/>
        </w:rPr>
        <w:t xml:space="preserve">mount enclosure is capable of housing </w:t>
      </w:r>
      <w:r w:rsidRPr="0038774A">
        <w:rPr>
          <w:lang w:val="en-US"/>
        </w:rPr>
        <w:t xml:space="preserve">96x fibre optic LC duplex ports with 192 fibres, 96x 12-fibre MPOs with 1152 fibres or 96x 24-fibre MPOs with 2304 fibres. </w:t>
      </w:r>
      <w:r w:rsidR="00637737">
        <w:rPr>
          <w:lang w:val="en-US"/>
        </w:rPr>
        <w:t xml:space="preserve">Configurations </w:t>
      </w:r>
      <w:r w:rsidRPr="0038774A">
        <w:rPr>
          <w:lang w:val="en-US"/>
        </w:rPr>
        <w:t xml:space="preserve">with 16-fibre MPOs, 32-fibre MPOs are also possible. Different modules with fibre optic and copper ports, for example RJ45, can be combined within a </w:t>
      </w:r>
      <w:r>
        <w:rPr>
          <w:lang w:val="en-US"/>
        </w:rPr>
        <w:t>module carrier</w:t>
      </w:r>
      <w:r w:rsidRPr="0038774A">
        <w:rPr>
          <w:lang w:val="en-US"/>
        </w:rPr>
        <w:t xml:space="preserve">. </w:t>
      </w:r>
      <w:r w:rsidRPr="00BC5B49">
        <w:rPr>
          <w:lang w:val="en-GB"/>
        </w:rPr>
        <w:t xml:space="preserve">With the fibre optic MDC module for the tML platform, which was introduced in 2020 </w:t>
      </w:r>
      <w:r w:rsidR="002B63EB">
        <w:rPr>
          <w:lang w:val="en-GB"/>
        </w:rPr>
        <w:t xml:space="preserve">as </w:t>
      </w:r>
      <w:r w:rsidRPr="00BC5B49">
        <w:rPr>
          <w:lang w:val="en-GB"/>
        </w:rPr>
        <w:t xml:space="preserve">the first in the industry, companies, planners and network engineers achieve a doubling of the packing density in the patch area compared to LC duplex connectors: </w:t>
      </w:r>
      <w:r w:rsidR="002B63EB">
        <w:rPr>
          <w:lang w:val="en-GB"/>
        </w:rPr>
        <w:t>t</w:t>
      </w:r>
      <w:r w:rsidRPr="00BC5B49">
        <w:rPr>
          <w:lang w:val="en-GB"/>
        </w:rPr>
        <w:t>o achieve this, tde was the first manufacturer to integrate the compact MDC connector from US Conec into its tML cabling system. Nevertheless, older connection technologies such as SC, ST or E2000 are also compatible with the tML.</w:t>
      </w:r>
    </w:p>
    <w:p w:rsidRPr="00CE0F04" w:rsidR="007E75AD" w:rsidP="007E75AD" w:rsidRDefault="007E75AD" w14:paraId="6303ECDF" w14:textId="77777777">
      <w:pPr>
        <w:spacing w:line="360" w:lineRule="auto"/>
        <w:rPr>
          <w:lang w:val="en-GB"/>
        </w:rPr>
      </w:pPr>
      <w:r w:rsidRPr="00CE0F04">
        <w:rPr>
          <w:b/>
          <w:lang w:val="en-GB"/>
        </w:rPr>
        <w:t>The tML – tde Modular Link-System</w:t>
      </w:r>
      <w:r w:rsidRPr="00CE0F04">
        <w:rPr>
          <w:b/>
          <w:lang w:val="en-GB"/>
        </w:rPr>
        <w:br/>
      </w:r>
      <w:r w:rsidRPr="00CE0F04">
        <w:rPr>
          <w:lang w:val="en-GB"/>
        </w:rPr>
        <w:t>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The fibre optic and TP modules can be used together in a module carrier with a very high port density. The tde offers its tML cabling system as a proven tML standard system and in the highly innovative variants tML Xtended, tML-24 and now tML-32 for extreme scalability and very easy migration to higher transmission rates such as 40G, 100G, 200G and 400G.</w:t>
      </w:r>
    </w:p>
    <w:p w:rsidR="007E75AD" w:rsidP="007E75AD" w:rsidRDefault="007E75AD" w14:paraId="7217AC96" w14:textId="77777777">
      <w:pPr>
        <w:spacing w:after="0" w:line="360" w:lineRule="auto"/>
        <w:rPr>
          <w:b/>
          <w:bCs/>
          <w:sz w:val="18"/>
          <w:szCs w:val="18"/>
          <w:lang w:val="en-GB"/>
        </w:rPr>
      </w:pPr>
      <w:r>
        <w:rPr>
          <w:b/>
          <w:bCs/>
          <w:sz w:val="18"/>
          <w:szCs w:val="18"/>
          <w:lang w:val="en-GB"/>
        </w:rPr>
        <w:t xml:space="preserve">About tde – trans data elektronik GmbH </w:t>
      </w:r>
    </w:p>
    <w:p w:rsidR="007E75AD" w:rsidP="007E75AD" w:rsidRDefault="007E75AD" w14:paraId="1144D86D" w14:textId="77777777">
      <w:pPr>
        <w:jc w:val="both"/>
        <w:rPr>
          <w:lang w:val="en-GB"/>
        </w:rPr>
      </w:pPr>
      <w:r>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w:history="1" r:id="rId10">
        <w:r>
          <w:rPr>
            <w:rStyle w:val="Hyperlink"/>
            <w:sz w:val="18"/>
            <w:szCs w:val="18"/>
            <w:lang w:val="en-GB"/>
          </w:rPr>
          <w:t>www.tde.de</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w:history="1" r:id="rId11">
        <w:r w:rsidRPr="0088496C">
          <w:rPr>
            <w:rStyle w:val="Hyperlink"/>
            <w:rFonts w:cs="Calibri"/>
            <w:sz w:val="18"/>
            <w:szCs w:val="16"/>
            <w:lang w:val="en-US"/>
          </w:rPr>
          <w:t>LinkedIn</w:t>
        </w:r>
      </w:hyperlink>
      <w:r w:rsidRPr="0088496C">
        <w:rPr>
          <w:sz w:val="18"/>
          <w:szCs w:val="16"/>
          <w:lang w:val="en-US"/>
        </w:rPr>
        <w:t xml:space="preserve">, </w:t>
      </w:r>
      <w:hyperlink w:history="1" r:id="rId12">
        <w:r w:rsidRPr="0088496C">
          <w:rPr>
            <w:rStyle w:val="Hyperlink"/>
            <w:rFonts w:cs="Calibri"/>
            <w:sz w:val="18"/>
            <w:szCs w:val="16"/>
            <w:lang w:val="en-US"/>
          </w:rPr>
          <w:t>Twitter</w:t>
        </w:r>
      </w:hyperlink>
      <w:r w:rsidRPr="0088496C">
        <w:rPr>
          <w:sz w:val="18"/>
          <w:szCs w:val="16"/>
          <w:lang w:val="en-US"/>
        </w:rPr>
        <w:t xml:space="preserve"> und </w:t>
      </w:r>
      <w:hyperlink w:history="1" r:id="rId13">
        <w:r w:rsidRPr="0088496C">
          <w:rPr>
            <w:rStyle w:val="Hyperlink"/>
            <w:rFonts w:cs="Calibri"/>
            <w:sz w:val="18"/>
            <w:szCs w:val="16"/>
            <w:lang w:val="en-US"/>
          </w:rPr>
          <w:t>Xing</w:t>
        </w:r>
      </w:hyperlink>
      <w:r w:rsidRPr="0088496C">
        <w:rPr>
          <w:rStyle w:val="Hyperlink"/>
          <w:rFonts w:cs="Calibri"/>
          <w:sz w:val="18"/>
          <w:szCs w:val="16"/>
          <w:lang w:val="en-US"/>
        </w:rPr>
        <w:t>.</w:t>
      </w:r>
    </w:p>
    <w:p w:rsidRPr="00637737" w:rsidR="007E75AD" w:rsidP="007E75AD" w:rsidRDefault="007E75AD" w14:paraId="192F90A9" w14:textId="77777777">
      <w:pPr>
        <w:spacing w:after="0" w:line="360" w:lineRule="auto"/>
        <w:rPr>
          <w:b/>
          <w:bCs/>
          <w:sz w:val="18"/>
          <w:szCs w:val="18"/>
          <w:lang w:val="en-GB"/>
        </w:rPr>
      </w:pPr>
      <w:r w:rsidRPr="00637737">
        <w:rPr>
          <w:b/>
          <w:bCs/>
          <w:sz w:val="18"/>
          <w:szCs w:val="18"/>
          <w:lang w:val="en-GB"/>
        </w:rPr>
        <w:t xml:space="preserve">Customer contact: </w:t>
      </w:r>
    </w:p>
    <w:p w:rsidRPr="00895437" w:rsidR="007E75AD" w:rsidP="007E75AD" w:rsidRDefault="007E75AD" w14:paraId="50CD6CAC" w14:textId="77777777">
      <w:pPr>
        <w:rPr>
          <w:sz w:val="18"/>
          <w:szCs w:val="16"/>
        </w:rPr>
      </w:pPr>
      <w:r w:rsidRPr="00637737">
        <w:rPr>
          <w:sz w:val="18"/>
          <w:szCs w:val="16"/>
          <w:lang w:val="en-GB"/>
        </w:rPr>
        <w:t xml:space="preserve">tde - trans data elektronik GmbH, Sales office Dortmund, </w:t>
      </w:r>
      <w:r w:rsidRPr="00637737">
        <w:rPr>
          <w:sz w:val="18"/>
          <w:szCs w:val="16"/>
          <w:lang w:val="en-GB"/>
        </w:rPr>
        <w:br/>
      </w:r>
      <w:r w:rsidRPr="00637737">
        <w:rPr>
          <w:sz w:val="18"/>
          <w:szCs w:val="16"/>
          <w:lang w:val="en-GB"/>
        </w:rPr>
        <w:t xml:space="preserve">André Engel, Prinz-Friedrich-Karl-Str. </w:t>
      </w:r>
      <w:r w:rsidRPr="00895437">
        <w:rPr>
          <w:sz w:val="18"/>
          <w:szCs w:val="16"/>
        </w:rPr>
        <w:t xml:space="preserve">46, 44135 Dortmund, </w:t>
      </w:r>
      <w:r w:rsidRPr="00895437">
        <w:rPr>
          <w:sz w:val="18"/>
          <w:szCs w:val="16"/>
        </w:rPr>
        <w:br/>
      </w:r>
      <w:r w:rsidRPr="00895437">
        <w:rPr>
          <w:sz w:val="18"/>
          <w:szCs w:val="16"/>
        </w:rPr>
        <w:t xml:space="preserve">Tel. +49 231 160480, Fax +49 231 160933, </w:t>
      </w:r>
      <w:hyperlink w:history="1" r:id="rId14">
        <w:r w:rsidRPr="00895437">
          <w:rPr>
            <w:rStyle w:val="Hyperlink"/>
            <w:sz w:val="18"/>
          </w:rPr>
          <w:t>info@tde.de</w:t>
        </w:r>
      </w:hyperlink>
      <w:r w:rsidRPr="00895437">
        <w:rPr>
          <w:sz w:val="18"/>
          <w:szCs w:val="16"/>
        </w:rPr>
        <w:t xml:space="preserve">, </w:t>
      </w:r>
      <w:hyperlink w:history="1" r:id="rId15">
        <w:r w:rsidRPr="00895437">
          <w:rPr>
            <w:rStyle w:val="Hyperlink"/>
            <w:sz w:val="18"/>
          </w:rPr>
          <w:t>www.tde.de</w:t>
        </w:r>
      </w:hyperlink>
    </w:p>
    <w:p w:rsidR="00F00728" w:rsidRDefault="00F00728" w14:paraId="024E1EF2" w14:textId="77777777">
      <w:pPr>
        <w:spacing w:after="160" w:line="259" w:lineRule="auto"/>
        <w:rPr>
          <w:b/>
          <w:bCs/>
          <w:sz w:val="18"/>
          <w:szCs w:val="18"/>
        </w:rPr>
      </w:pPr>
      <w:r>
        <w:rPr>
          <w:b/>
          <w:bCs/>
          <w:sz w:val="18"/>
          <w:szCs w:val="18"/>
        </w:rPr>
        <w:br w:type="page"/>
      </w:r>
    </w:p>
    <w:p w:rsidRPr="00895437" w:rsidR="007E75AD" w:rsidP="007E75AD" w:rsidRDefault="007E75AD" w14:paraId="73CEF50C" w14:textId="256A83C7">
      <w:pPr>
        <w:spacing w:after="0" w:line="360" w:lineRule="auto"/>
        <w:rPr>
          <w:b/>
          <w:bCs/>
          <w:sz w:val="18"/>
          <w:szCs w:val="18"/>
        </w:rPr>
      </w:pPr>
      <w:r w:rsidRPr="00895437">
        <w:rPr>
          <w:b/>
          <w:bCs/>
          <w:sz w:val="18"/>
          <w:szCs w:val="18"/>
        </w:rPr>
        <w:lastRenderedPageBreak/>
        <w:t>Press contact:</w:t>
      </w:r>
    </w:p>
    <w:p w:rsidR="007E75AD" w:rsidP="007E75AD" w:rsidRDefault="007E75AD" w14:paraId="659BC325" w14:textId="77777777">
      <w:pPr>
        <w:spacing w:after="0" w:line="240" w:lineRule="auto"/>
        <w:rPr>
          <w:sz w:val="18"/>
          <w:szCs w:val="18"/>
        </w:rPr>
      </w:pPr>
      <w:r w:rsidRPr="00895437">
        <w:rPr>
          <w:sz w:val="18"/>
          <w:szCs w:val="18"/>
        </w:rPr>
        <w:t>epr - elsaesser public relations, Maximilianstraße 50, D-86150 Augsburg, Germany</w:t>
      </w:r>
      <w:r w:rsidRPr="00895437">
        <w:rPr>
          <w:sz w:val="18"/>
          <w:szCs w:val="18"/>
        </w:rPr>
        <w:br/>
      </w:r>
      <w:r w:rsidRPr="00895437">
        <w:rPr>
          <w:sz w:val="18"/>
          <w:szCs w:val="18"/>
        </w:rPr>
        <w:t xml:space="preserve">Frauke Schütz, Tel: +49 – (0)821 – 4508 7916, </w:t>
      </w:r>
      <w:hyperlink w:history="1" r:id="rId16">
        <w:r w:rsidRPr="00895437">
          <w:rPr>
            <w:rStyle w:val="Hyperlink"/>
            <w:sz w:val="18"/>
            <w:szCs w:val="18"/>
          </w:rPr>
          <w:t>fs@epr-online.de</w:t>
        </w:r>
      </w:hyperlink>
      <w:r w:rsidRPr="00895437">
        <w:rPr>
          <w:sz w:val="18"/>
          <w:szCs w:val="18"/>
        </w:rPr>
        <w:t xml:space="preserve">, </w:t>
      </w:r>
      <w:hyperlink w:history="1" r:id="rId17">
        <w:r w:rsidRPr="00895437">
          <w:rPr>
            <w:rStyle w:val="Hyperlink"/>
            <w:sz w:val="18"/>
            <w:szCs w:val="18"/>
          </w:rPr>
          <w:t>www.epr-online.de</w:t>
        </w:r>
      </w:hyperlink>
      <w:r w:rsidRPr="00F63B59">
        <w:rPr>
          <w:sz w:val="18"/>
          <w:szCs w:val="18"/>
        </w:rPr>
        <w:t xml:space="preserve"> </w:t>
      </w:r>
    </w:p>
    <w:p w:rsidR="007E75AD" w:rsidP="007E75AD" w:rsidRDefault="007E75AD" w14:paraId="239A50F6" w14:textId="77777777">
      <w:pPr>
        <w:spacing w:after="0" w:line="240" w:lineRule="auto"/>
        <w:rPr>
          <w:rStyle w:val="Hyperlink"/>
          <w:rFonts w:cs="Calibri"/>
          <w:color w:val="auto"/>
          <w:sz w:val="18"/>
          <w:szCs w:val="18"/>
          <w:u w:val="none"/>
        </w:rPr>
      </w:pPr>
      <w:r>
        <w:rPr>
          <w:sz w:val="18"/>
          <w:szCs w:val="18"/>
        </w:rPr>
        <w:t>Elke Thiergärtner</w:t>
      </w:r>
      <w:r w:rsidRPr="00895437">
        <w:rPr>
          <w:sz w:val="18"/>
          <w:szCs w:val="18"/>
        </w:rPr>
        <w:t>, Tel: +49 - (0)821 – 4508 791</w:t>
      </w:r>
      <w:r>
        <w:rPr>
          <w:sz w:val="18"/>
          <w:szCs w:val="18"/>
        </w:rPr>
        <w:t>2</w:t>
      </w:r>
      <w:r w:rsidRPr="00895437">
        <w:rPr>
          <w:sz w:val="18"/>
          <w:szCs w:val="18"/>
        </w:rPr>
        <w:t xml:space="preserve">, </w:t>
      </w:r>
      <w:hyperlink w:history="1" r:id="rId18">
        <w:r w:rsidRPr="00FB4ADB">
          <w:rPr>
            <w:rStyle w:val="Hyperlink"/>
            <w:sz w:val="18"/>
            <w:szCs w:val="18"/>
          </w:rPr>
          <w:t>et@epr-online.de</w:t>
        </w:r>
      </w:hyperlink>
      <w:r w:rsidRPr="00895437">
        <w:rPr>
          <w:sz w:val="18"/>
          <w:szCs w:val="18"/>
        </w:rPr>
        <w:br/>
      </w:r>
      <w:hyperlink w:history="1" r:id="rId19">
        <w:r w:rsidRPr="00ED0C8B">
          <w:rPr>
            <w:rStyle w:val="Hyperlink"/>
            <w:rFonts w:cs="Calibri"/>
            <w:sz w:val="18"/>
            <w:szCs w:val="18"/>
          </w:rPr>
          <w:t>www.epr-online.com</w:t>
        </w:r>
      </w:hyperlink>
    </w:p>
    <w:p w:rsidRPr="00F63B59" w:rsidR="007E75AD" w:rsidP="007E75AD" w:rsidRDefault="007E75AD" w14:paraId="7220C422" w14:textId="77777777">
      <w:pPr>
        <w:spacing w:after="0" w:line="240" w:lineRule="auto"/>
        <w:rPr>
          <w:rStyle w:val="Hyperlink"/>
          <w:rFonts w:cs="Calibri"/>
          <w:color w:val="auto"/>
          <w:sz w:val="18"/>
          <w:szCs w:val="18"/>
          <w:u w:val="none"/>
        </w:rPr>
      </w:pPr>
    </w:p>
    <w:p w:rsidRPr="00E843AA" w:rsidR="00E843AA" w:rsidP="007E75AD" w:rsidRDefault="00E843AA" w14:paraId="571108C1" w14:textId="778CDD6E">
      <w:pPr>
        <w:rPr>
          <w:rFonts w:cs="Verdana"/>
          <w:sz w:val="18"/>
          <w:szCs w:val="16"/>
        </w:rPr>
      </w:pPr>
    </w:p>
    <w:sectPr w:rsidRPr="00E843AA" w:rsidR="00E843AA" w:rsidSect="006035BB">
      <w:headerReference w:type="default" r:id="rId20"/>
      <w:pgSz w:w="11906" w:h="16838" w:orient="portrait"/>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84F" w:rsidP="00986D29" w:rsidRDefault="0050784F" w14:paraId="2E5101FC" w14:textId="77777777">
      <w:pPr>
        <w:spacing w:after="0" w:line="240" w:lineRule="auto"/>
      </w:pPr>
      <w:r>
        <w:separator/>
      </w:r>
    </w:p>
  </w:endnote>
  <w:endnote w:type="continuationSeparator" w:id="0">
    <w:p w:rsidR="0050784F" w:rsidP="00986D29" w:rsidRDefault="0050784F" w14:paraId="6777586A" w14:textId="77777777">
      <w:pPr>
        <w:spacing w:after="0" w:line="240" w:lineRule="auto"/>
      </w:pPr>
      <w:r>
        <w:continuationSeparator/>
      </w:r>
    </w:p>
  </w:endnote>
  <w:endnote w:type="continuationNotice" w:id="1">
    <w:p w:rsidR="0050784F" w:rsidRDefault="0050784F" w14:paraId="3C4EE7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84F" w:rsidP="00986D29" w:rsidRDefault="0050784F" w14:paraId="48370F8D" w14:textId="77777777">
      <w:pPr>
        <w:spacing w:after="0" w:line="240" w:lineRule="auto"/>
      </w:pPr>
      <w:r>
        <w:separator/>
      </w:r>
    </w:p>
  </w:footnote>
  <w:footnote w:type="continuationSeparator" w:id="0">
    <w:p w:rsidR="0050784F" w:rsidP="00986D29" w:rsidRDefault="0050784F" w14:paraId="0E589212" w14:textId="77777777">
      <w:pPr>
        <w:spacing w:after="0" w:line="240" w:lineRule="auto"/>
      </w:pPr>
      <w:r>
        <w:continuationSeparator/>
      </w:r>
    </w:p>
  </w:footnote>
  <w:footnote w:type="continuationNotice" w:id="1">
    <w:p w:rsidR="0050784F" w:rsidRDefault="0050784F" w14:paraId="4F5A4C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5B97" w:rsidP="00986D29" w:rsidRDefault="00C05B97" w14:paraId="27A259F0" w14:textId="7EF65418">
    <w:pPr>
      <w:pStyle w:val="Kopfzeile"/>
      <w:jc w:val="right"/>
      <w:rPr>
        <w:rFonts w:ascii="Verdana" w:hAnsi="Verdana" w:cs="Verdana"/>
        <w:color w:val="808080"/>
        <w:sz w:val="20"/>
        <w:szCs w:val="20"/>
      </w:rPr>
    </w:pPr>
    <w:r>
      <w:rPr>
        <w:noProof/>
        <w:lang w:eastAsia="de-DE"/>
      </w:rPr>
      <w:drawing>
        <wp:anchor distT="0" distB="0" distL="114300" distR="114300" simplePos="0" relativeHeight="251658240" behindDoc="1" locked="0" layoutInCell="1" allowOverlap="1" wp14:anchorId="0C8893C5" wp14:editId="3C9A1A78">
          <wp:simplePos x="0" y="0"/>
          <wp:positionH relativeFrom="column">
            <wp:posOffset>4752975</wp:posOffset>
          </wp:positionH>
          <wp:positionV relativeFrom="paragraph">
            <wp:posOffset>-40640</wp:posOffset>
          </wp:positionV>
          <wp:extent cx="1416050" cy="659130"/>
          <wp:effectExtent l="0" t="0" r="0" b="762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86A" w:rsidP="00986D29" w:rsidRDefault="0042686A" w14:paraId="4B050924" w14:textId="1B3C7DA0">
    <w:pPr>
      <w:pStyle w:val="Kopfzeile"/>
      <w:jc w:val="right"/>
      <w:rPr>
        <w:rFonts w:ascii="Verdana" w:hAnsi="Verdana" w:cs="Verdana"/>
        <w:color w:val="808080"/>
        <w:sz w:val="20"/>
        <w:szCs w:val="20"/>
      </w:rPr>
    </w:pPr>
  </w:p>
  <w:p w:rsidR="0042686A" w:rsidP="00986D29" w:rsidRDefault="0042686A" w14:paraId="7AAC2AE7" w14:textId="39F6E092">
    <w:pPr>
      <w:pStyle w:val="Kopfzeile"/>
      <w:jc w:val="right"/>
      <w:rPr>
        <w:rFonts w:ascii="Verdana" w:hAnsi="Verdana" w:cs="Verdana"/>
        <w:color w:val="808080"/>
        <w:sz w:val="20"/>
        <w:szCs w:val="20"/>
      </w:rPr>
    </w:pPr>
  </w:p>
  <w:p w:rsidR="0042686A" w:rsidP="00986D29" w:rsidRDefault="0042686A" w14:paraId="4F12163B" w14:textId="03EBC36F">
    <w:pPr>
      <w:pStyle w:val="Kopfzeile"/>
      <w:jc w:val="right"/>
      <w:rPr>
        <w:rFonts w:ascii="Verdana" w:hAnsi="Verdana" w:cs="Verdana"/>
        <w:color w:val="808080"/>
        <w:sz w:val="20"/>
        <w:szCs w:val="20"/>
      </w:rPr>
    </w:pPr>
  </w:p>
  <w:p w:rsidR="0042686A" w:rsidP="00986D29" w:rsidRDefault="0042686A" w14:paraId="06B51F51" w14:textId="77777777">
    <w:pPr>
      <w:pStyle w:val="Kopfzeile"/>
      <w:jc w:val="right"/>
      <w:rPr>
        <w:rFonts w:ascii="Verdana" w:hAnsi="Verdana" w:cs="Verdana"/>
        <w:color w:val="808080"/>
        <w:sz w:val="20"/>
        <w:szCs w:val="20"/>
      </w:rPr>
    </w:pPr>
  </w:p>
  <w:p w:rsidR="00C05B97" w:rsidRDefault="00C05B97" w14:paraId="1A6126C7"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7FC02AD8"/>
    <w:multiLevelType w:val="hybridMultilevel"/>
    <w:tmpl w:val="8028044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74"/>
    <w:rsid w:val="00003B1E"/>
    <w:rsid w:val="00017639"/>
    <w:rsid w:val="00030B21"/>
    <w:rsid w:val="000366E5"/>
    <w:rsid w:val="0003707D"/>
    <w:rsid w:val="0004067F"/>
    <w:rsid w:val="000525B1"/>
    <w:rsid w:val="0006397F"/>
    <w:rsid w:val="00065834"/>
    <w:rsid w:val="0006608B"/>
    <w:rsid w:val="0007097A"/>
    <w:rsid w:val="00073613"/>
    <w:rsid w:val="00073D55"/>
    <w:rsid w:val="00077430"/>
    <w:rsid w:val="000A0001"/>
    <w:rsid w:val="000B2741"/>
    <w:rsid w:val="000C10F8"/>
    <w:rsid w:val="000C6D28"/>
    <w:rsid w:val="000C77E9"/>
    <w:rsid w:val="000D16EF"/>
    <w:rsid w:val="000D32DF"/>
    <w:rsid w:val="000D74AC"/>
    <w:rsid w:val="000E6175"/>
    <w:rsid w:val="000E6DE9"/>
    <w:rsid w:val="000F463B"/>
    <w:rsid w:val="000F5782"/>
    <w:rsid w:val="0010412E"/>
    <w:rsid w:val="00110F46"/>
    <w:rsid w:val="00111D4B"/>
    <w:rsid w:val="00131840"/>
    <w:rsid w:val="00146E07"/>
    <w:rsid w:val="00147BEF"/>
    <w:rsid w:val="001533C6"/>
    <w:rsid w:val="00170E62"/>
    <w:rsid w:val="00193369"/>
    <w:rsid w:val="001937A0"/>
    <w:rsid w:val="001A10B1"/>
    <w:rsid w:val="001A7106"/>
    <w:rsid w:val="001B360D"/>
    <w:rsid w:val="001B3B75"/>
    <w:rsid w:val="001B5BD4"/>
    <w:rsid w:val="001B6319"/>
    <w:rsid w:val="001D4F8C"/>
    <w:rsid w:val="001E1C24"/>
    <w:rsid w:val="002172D4"/>
    <w:rsid w:val="0021799B"/>
    <w:rsid w:val="00227D9A"/>
    <w:rsid w:val="00243617"/>
    <w:rsid w:val="00272182"/>
    <w:rsid w:val="00276E7B"/>
    <w:rsid w:val="00283F45"/>
    <w:rsid w:val="00285498"/>
    <w:rsid w:val="00285FE7"/>
    <w:rsid w:val="00297501"/>
    <w:rsid w:val="002A2413"/>
    <w:rsid w:val="002A7D64"/>
    <w:rsid w:val="002B030F"/>
    <w:rsid w:val="002B2E40"/>
    <w:rsid w:val="002B63EB"/>
    <w:rsid w:val="002C5DA3"/>
    <w:rsid w:val="002C7B0F"/>
    <w:rsid w:val="002E63EC"/>
    <w:rsid w:val="00303A9C"/>
    <w:rsid w:val="00307055"/>
    <w:rsid w:val="003102BD"/>
    <w:rsid w:val="00323276"/>
    <w:rsid w:val="003413BC"/>
    <w:rsid w:val="00346ACB"/>
    <w:rsid w:val="0036650E"/>
    <w:rsid w:val="00373792"/>
    <w:rsid w:val="003749B0"/>
    <w:rsid w:val="00375E5D"/>
    <w:rsid w:val="003869C6"/>
    <w:rsid w:val="0038774A"/>
    <w:rsid w:val="003A768A"/>
    <w:rsid w:val="003B28E2"/>
    <w:rsid w:val="003B6F62"/>
    <w:rsid w:val="003C62E4"/>
    <w:rsid w:val="003E5315"/>
    <w:rsid w:val="003E5B19"/>
    <w:rsid w:val="004156B5"/>
    <w:rsid w:val="0042686A"/>
    <w:rsid w:val="0043370C"/>
    <w:rsid w:val="00436E56"/>
    <w:rsid w:val="0044094C"/>
    <w:rsid w:val="00446425"/>
    <w:rsid w:val="004576F2"/>
    <w:rsid w:val="0047393B"/>
    <w:rsid w:val="00475493"/>
    <w:rsid w:val="004758D5"/>
    <w:rsid w:val="00486EC0"/>
    <w:rsid w:val="004965E2"/>
    <w:rsid w:val="004B7BC3"/>
    <w:rsid w:val="004E0466"/>
    <w:rsid w:val="004E04D5"/>
    <w:rsid w:val="004F00FA"/>
    <w:rsid w:val="0050784F"/>
    <w:rsid w:val="005107C5"/>
    <w:rsid w:val="00521C2A"/>
    <w:rsid w:val="00522B1D"/>
    <w:rsid w:val="0052778C"/>
    <w:rsid w:val="00532488"/>
    <w:rsid w:val="00532BA2"/>
    <w:rsid w:val="0053454E"/>
    <w:rsid w:val="00536E74"/>
    <w:rsid w:val="005444ED"/>
    <w:rsid w:val="0055395C"/>
    <w:rsid w:val="0057279E"/>
    <w:rsid w:val="00577280"/>
    <w:rsid w:val="0058282F"/>
    <w:rsid w:val="00590066"/>
    <w:rsid w:val="00590173"/>
    <w:rsid w:val="0059088B"/>
    <w:rsid w:val="005B736C"/>
    <w:rsid w:val="005D0245"/>
    <w:rsid w:val="005D67AA"/>
    <w:rsid w:val="005E6B77"/>
    <w:rsid w:val="005F317E"/>
    <w:rsid w:val="005F69BF"/>
    <w:rsid w:val="006035BB"/>
    <w:rsid w:val="00611FAB"/>
    <w:rsid w:val="00613C70"/>
    <w:rsid w:val="006239A5"/>
    <w:rsid w:val="00627916"/>
    <w:rsid w:val="00630C23"/>
    <w:rsid w:val="00634382"/>
    <w:rsid w:val="00637737"/>
    <w:rsid w:val="006377E0"/>
    <w:rsid w:val="00644DEF"/>
    <w:rsid w:val="00646A14"/>
    <w:rsid w:val="0065182F"/>
    <w:rsid w:val="00662E83"/>
    <w:rsid w:val="0066660F"/>
    <w:rsid w:val="00672286"/>
    <w:rsid w:val="0068669B"/>
    <w:rsid w:val="00690649"/>
    <w:rsid w:val="006C3013"/>
    <w:rsid w:val="006C5508"/>
    <w:rsid w:val="006E283C"/>
    <w:rsid w:val="007112D1"/>
    <w:rsid w:val="00712046"/>
    <w:rsid w:val="0071686D"/>
    <w:rsid w:val="00724AAE"/>
    <w:rsid w:val="00732EF8"/>
    <w:rsid w:val="00744B5B"/>
    <w:rsid w:val="00745F7A"/>
    <w:rsid w:val="00747DC4"/>
    <w:rsid w:val="00751FB9"/>
    <w:rsid w:val="00760DED"/>
    <w:rsid w:val="00765B3F"/>
    <w:rsid w:val="007754D2"/>
    <w:rsid w:val="007808F7"/>
    <w:rsid w:val="0079050D"/>
    <w:rsid w:val="00793B30"/>
    <w:rsid w:val="007B73CA"/>
    <w:rsid w:val="007C0869"/>
    <w:rsid w:val="007D1D3F"/>
    <w:rsid w:val="007D4313"/>
    <w:rsid w:val="007D7BBB"/>
    <w:rsid w:val="007E75AD"/>
    <w:rsid w:val="00811C20"/>
    <w:rsid w:val="00823E78"/>
    <w:rsid w:val="008379C6"/>
    <w:rsid w:val="008516CD"/>
    <w:rsid w:val="00865A61"/>
    <w:rsid w:val="00867799"/>
    <w:rsid w:val="00877387"/>
    <w:rsid w:val="00882498"/>
    <w:rsid w:val="008870A8"/>
    <w:rsid w:val="008A35D7"/>
    <w:rsid w:val="008B7D76"/>
    <w:rsid w:val="008C2AD6"/>
    <w:rsid w:val="008F2474"/>
    <w:rsid w:val="008F4823"/>
    <w:rsid w:val="00911529"/>
    <w:rsid w:val="0092226B"/>
    <w:rsid w:val="00924FA4"/>
    <w:rsid w:val="00925BD5"/>
    <w:rsid w:val="009268F9"/>
    <w:rsid w:val="00932FA1"/>
    <w:rsid w:val="0095013B"/>
    <w:rsid w:val="00954CD5"/>
    <w:rsid w:val="00976E76"/>
    <w:rsid w:val="009771D9"/>
    <w:rsid w:val="00977FA7"/>
    <w:rsid w:val="0098351F"/>
    <w:rsid w:val="00986D29"/>
    <w:rsid w:val="00990CD4"/>
    <w:rsid w:val="009912D6"/>
    <w:rsid w:val="00991802"/>
    <w:rsid w:val="00992CC5"/>
    <w:rsid w:val="009A192C"/>
    <w:rsid w:val="009A203B"/>
    <w:rsid w:val="009C546C"/>
    <w:rsid w:val="009D0F98"/>
    <w:rsid w:val="009D7C75"/>
    <w:rsid w:val="00A0198F"/>
    <w:rsid w:val="00A11729"/>
    <w:rsid w:val="00A15BBB"/>
    <w:rsid w:val="00A16C24"/>
    <w:rsid w:val="00A33919"/>
    <w:rsid w:val="00A4074E"/>
    <w:rsid w:val="00A41EE5"/>
    <w:rsid w:val="00A52CF4"/>
    <w:rsid w:val="00A53B5F"/>
    <w:rsid w:val="00A5517D"/>
    <w:rsid w:val="00A7141C"/>
    <w:rsid w:val="00A83DA1"/>
    <w:rsid w:val="00AB1BC9"/>
    <w:rsid w:val="00AB38C7"/>
    <w:rsid w:val="00AB67C3"/>
    <w:rsid w:val="00AC7D62"/>
    <w:rsid w:val="00AD1673"/>
    <w:rsid w:val="00AD2734"/>
    <w:rsid w:val="00AE037A"/>
    <w:rsid w:val="00AE0585"/>
    <w:rsid w:val="00AE3C4E"/>
    <w:rsid w:val="00B05ADD"/>
    <w:rsid w:val="00B06243"/>
    <w:rsid w:val="00B12347"/>
    <w:rsid w:val="00B306C4"/>
    <w:rsid w:val="00B54663"/>
    <w:rsid w:val="00B6005C"/>
    <w:rsid w:val="00B61EBB"/>
    <w:rsid w:val="00B64A53"/>
    <w:rsid w:val="00B82D02"/>
    <w:rsid w:val="00B95483"/>
    <w:rsid w:val="00B96DC9"/>
    <w:rsid w:val="00BB1923"/>
    <w:rsid w:val="00BB466E"/>
    <w:rsid w:val="00BC210C"/>
    <w:rsid w:val="00BC5B49"/>
    <w:rsid w:val="00BC5BC1"/>
    <w:rsid w:val="00BC7C3E"/>
    <w:rsid w:val="00BD40C9"/>
    <w:rsid w:val="00BF609C"/>
    <w:rsid w:val="00BF7990"/>
    <w:rsid w:val="00C05B97"/>
    <w:rsid w:val="00C071D0"/>
    <w:rsid w:val="00C07FF7"/>
    <w:rsid w:val="00C43B9F"/>
    <w:rsid w:val="00C87E40"/>
    <w:rsid w:val="00CA017E"/>
    <w:rsid w:val="00CA737A"/>
    <w:rsid w:val="00CD0D9A"/>
    <w:rsid w:val="00CD1D79"/>
    <w:rsid w:val="00CD24F7"/>
    <w:rsid w:val="00CF0287"/>
    <w:rsid w:val="00CF7311"/>
    <w:rsid w:val="00D03B80"/>
    <w:rsid w:val="00D14992"/>
    <w:rsid w:val="00D16A80"/>
    <w:rsid w:val="00D261CE"/>
    <w:rsid w:val="00D2628C"/>
    <w:rsid w:val="00D34764"/>
    <w:rsid w:val="00D44F6F"/>
    <w:rsid w:val="00D47B2C"/>
    <w:rsid w:val="00D47B87"/>
    <w:rsid w:val="00D562E0"/>
    <w:rsid w:val="00D7542D"/>
    <w:rsid w:val="00D75A42"/>
    <w:rsid w:val="00D82083"/>
    <w:rsid w:val="00D83807"/>
    <w:rsid w:val="00D86759"/>
    <w:rsid w:val="00D869AD"/>
    <w:rsid w:val="00D9338E"/>
    <w:rsid w:val="00DC2456"/>
    <w:rsid w:val="00DC3649"/>
    <w:rsid w:val="00DC3CE1"/>
    <w:rsid w:val="00DC5697"/>
    <w:rsid w:val="00DD424E"/>
    <w:rsid w:val="00DE1913"/>
    <w:rsid w:val="00DE7D51"/>
    <w:rsid w:val="00DF47EB"/>
    <w:rsid w:val="00DF4A85"/>
    <w:rsid w:val="00E01F1B"/>
    <w:rsid w:val="00E30926"/>
    <w:rsid w:val="00E32102"/>
    <w:rsid w:val="00E335AF"/>
    <w:rsid w:val="00E506F8"/>
    <w:rsid w:val="00E51660"/>
    <w:rsid w:val="00E56836"/>
    <w:rsid w:val="00E61358"/>
    <w:rsid w:val="00E715C8"/>
    <w:rsid w:val="00E71F30"/>
    <w:rsid w:val="00E80CEB"/>
    <w:rsid w:val="00E82093"/>
    <w:rsid w:val="00E843AA"/>
    <w:rsid w:val="00E940ED"/>
    <w:rsid w:val="00EA43B2"/>
    <w:rsid w:val="00EA7665"/>
    <w:rsid w:val="00EB7708"/>
    <w:rsid w:val="00EC1B08"/>
    <w:rsid w:val="00ED0C8F"/>
    <w:rsid w:val="00EE0C70"/>
    <w:rsid w:val="00EF361D"/>
    <w:rsid w:val="00EF556C"/>
    <w:rsid w:val="00F00728"/>
    <w:rsid w:val="00F06042"/>
    <w:rsid w:val="00F0651D"/>
    <w:rsid w:val="00F06580"/>
    <w:rsid w:val="00F416CA"/>
    <w:rsid w:val="00F51792"/>
    <w:rsid w:val="00F52541"/>
    <w:rsid w:val="00F570BC"/>
    <w:rsid w:val="00F82521"/>
    <w:rsid w:val="00F86539"/>
    <w:rsid w:val="00F955A7"/>
    <w:rsid w:val="00F97BA7"/>
    <w:rsid w:val="00FA5864"/>
    <w:rsid w:val="00FC0AC7"/>
    <w:rsid w:val="00FD2990"/>
    <w:rsid w:val="00FF531C"/>
    <w:rsid w:val="1B19DA49"/>
    <w:rsid w:val="254DB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F2474"/>
    <w:pPr>
      <w:spacing w:after="200" w:line="276" w:lineRule="auto"/>
    </w:pPr>
    <w:rPr>
      <w:rFonts w:ascii="Calibri" w:hAnsi="Calibri" w:cs="Calibri"/>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styleId="KommentartextZchn" w:customStyle="1">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styleId="KommentarthemaZchn" w:customStyle="1">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styleId="NichtaufgelsteErwhnung1" w:customStyle="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styleId="FuzeileZchn" w:customStyle="1">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styleId="NichtaufgelsteErwhnung2" w:customStyle="1">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styleId="NichtaufgelsteErwhnung3" w:customStyle="1">
    <w:name w:val="Nicht aufgelöste Erwähnung3"/>
    <w:basedOn w:val="Absatz-Standardschriftart"/>
    <w:uiPriority w:val="99"/>
    <w:semiHidden/>
    <w:unhideWhenUsed/>
    <w:rsid w:val="00690649"/>
    <w:rPr>
      <w:color w:val="605E5C"/>
      <w:shd w:val="clear" w:color="auto" w:fill="E1DFDD"/>
    </w:rPr>
  </w:style>
  <w:style w:type="table" w:styleId="Tabellenraster">
    <w:name w:val="Table Grid"/>
    <w:basedOn w:val="NormaleTabelle"/>
    <w:uiPriority w:val="59"/>
    <w:rsid w:val="009D0F98"/>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ichtaufgelsteErwhnung">
    <w:name w:val="Unresolved Mention"/>
    <w:basedOn w:val="Absatz-Standardschriftart"/>
    <w:uiPriority w:val="99"/>
    <w:semiHidden/>
    <w:unhideWhenUsed/>
    <w:rsid w:val="00590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44042">
      <w:bodyDiv w:val="1"/>
      <w:marLeft w:val="0"/>
      <w:marRight w:val="0"/>
      <w:marTop w:val="0"/>
      <w:marBottom w:val="0"/>
      <w:divBdr>
        <w:top w:val="none" w:sz="0" w:space="0" w:color="auto"/>
        <w:left w:val="none" w:sz="0" w:space="0" w:color="auto"/>
        <w:bottom w:val="none" w:sz="0" w:space="0" w:color="auto"/>
        <w:right w:val="none" w:sz="0" w:space="0" w:color="auto"/>
      </w:divBdr>
    </w:div>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 w:id="16681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xing.com/companies/tde-transdataelektronikgmbh/updates" TargetMode="External" Id="rId13" /><Relationship Type="http://schemas.openxmlformats.org/officeDocument/2006/relationships/hyperlink" Target="mailto:et@epr-online.d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twitter.com/tdeConnect" TargetMode="External" Id="rId12" /><Relationship Type="http://schemas.openxmlformats.org/officeDocument/2006/relationships/hyperlink" Target="http://www.epr-online.de/" TargetMode="External" Id="rId17" /><Relationship Type="http://schemas.openxmlformats.org/officeDocument/2006/relationships/customXml" Target="../customXml/item2.xml" Id="rId2" /><Relationship Type="http://schemas.openxmlformats.org/officeDocument/2006/relationships/hyperlink" Target="mailto:fs@epr-online.de"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inkedin.com/company/tde-trans-data-elektronik-gmbh/" TargetMode="External" Id="rId11" /><Relationship Type="http://schemas.openxmlformats.org/officeDocument/2006/relationships/styles" Target="styles.xml" Id="rId5" /><Relationship Type="http://schemas.openxmlformats.org/officeDocument/2006/relationships/hyperlink" Target="http://www.tde.de" TargetMode="External" Id="rId15" /><Relationship Type="http://schemas.openxmlformats.org/officeDocument/2006/relationships/hyperlink" Target="http://www.tde.de/" TargetMode="External" Id="rId10" /><Relationship Type="http://schemas.openxmlformats.org/officeDocument/2006/relationships/hyperlink" Target="http://www.epr-online.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tde.de"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B5802A259FD48BF3EBA8B6A091433" ma:contentTypeVersion="12" ma:contentTypeDescription="Create a new document." ma:contentTypeScope="" ma:versionID="75a5657ca3b1484d723f56b4200d2cab">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764ac3b85315655d411f5b2b1de38a06"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3A8C9-33A6-4382-BED7-F44194676378}"/>
</file>

<file path=customXml/itemProps2.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75378-6D4E-4BB2-BC4E-59B1044A7E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johannakatharina.gruber</cp:lastModifiedBy>
  <cp:revision>4</cp:revision>
  <dcterms:created xsi:type="dcterms:W3CDTF">2021-09-15T10:25:00Z</dcterms:created>
  <dcterms:modified xsi:type="dcterms:W3CDTF">2021-09-21T08:44:08Z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