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3ED" w14:textId="77777777" w:rsidR="00986D29" w:rsidRDefault="00986D29" w:rsidP="00986D29">
      <w:pPr>
        <w:spacing w:line="360" w:lineRule="auto"/>
        <w:jc w:val="right"/>
        <w:rPr>
          <w:b/>
          <w:bCs/>
          <w:u w:val="single"/>
        </w:rPr>
      </w:pPr>
      <w:r w:rsidRPr="00DE7D51">
        <w:rPr>
          <w:rFonts w:ascii="Verdana" w:hAnsi="Verdana" w:cs="Verdana"/>
          <w:color w:val="808080"/>
          <w:sz w:val="20"/>
          <w:szCs w:val="20"/>
        </w:rPr>
        <w:t>Pressemitteilung</w:t>
      </w:r>
    </w:p>
    <w:p w14:paraId="160EF77E" w14:textId="47E841B1" w:rsidR="00030B21" w:rsidRDefault="000A0001" w:rsidP="00030B21">
      <w:pPr>
        <w:widowControl w:val="0"/>
        <w:autoSpaceDE w:val="0"/>
        <w:autoSpaceDN w:val="0"/>
        <w:adjustRightInd w:val="0"/>
        <w:ind w:right="-6"/>
        <w:rPr>
          <w:rFonts w:ascii="Calibri-Bold" w:hAnsi="Calibri-Bold" w:cs="Calibri-Bold"/>
          <w:b/>
          <w:bCs/>
          <w:u w:val="single"/>
        </w:rPr>
      </w:pPr>
      <w:r>
        <w:rPr>
          <w:rFonts w:ascii="Calibri-Bold" w:hAnsi="Calibri-Bold" w:cs="Calibri-Bold"/>
          <w:b/>
          <w:bCs/>
          <w:u w:val="single"/>
        </w:rPr>
        <w:t xml:space="preserve">Modernes Design, </w:t>
      </w:r>
      <w:r w:rsidR="00F86539">
        <w:rPr>
          <w:rFonts w:ascii="Calibri-Bold" w:hAnsi="Calibri-Bold" w:cs="Calibri-Bold"/>
          <w:b/>
          <w:bCs/>
          <w:u w:val="single"/>
        </w:rPr>
        <w:t xml:space="preserve">einteiliger </w:t>
      </w:r>
      <w:r>
        <w:rPr>
          <w:rFonts w:ascii="Calibri-Bold" w:hAnsi="Calibri-Bold" w:cs="Calibri-Bold"/>
          <w:b/>
          <w:bCs/>
          <w:u w:val="single"/>
        </w:rPr>
        <w:t>Aufbau, reduzierter Montageaufwand</w:t>
      </w:r>
    </w:p>
    <w:p w14:paraId="507B914D" w14:textId="76EE6E93" w:rsidR="00760DED" w:rsidRPr="00FE2E70" w:rsidRDefault="0042686A" w:rsidP="00030B21">
      <w:pPr>
        <w:widowControl w:val="0"/>
        <w:autoSpaceDE w:val="0"/>
        <w:autoSpaceDN w:val="0"/>
        <w:adjustRightInd w:val="0"/>
        <w:ind w:right="-6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tde stellt </w:t>
      </w:r>
      <w:r w:rsidR="00F86539">
        <w:rPr>
          <w:rFonts w:ascii="Calibri-Bold" w:hAnsi="Calibri-Bold" w:cs="Calibri-Bold"/>
          <w:b/>
          <w:bCs/>
          <w:sz w:val="36"/>
          <w:szCs w:val="36"/>
        </w:rPr>
        <w:t xml:space="preserve">Redesign des </w:t>
      </w:r>
      <w:r>
        <w:rPr>
          <w:rFonts w:ascii="Calibri-Bold" w:hAnsi="Calibri-Bold" w:cs="Calibri-Bold"/>
          <w:b/>
          <w:bCs/>
          <w:sz w:val="36"/>
          <w:szCs w:val="36"/>
        </w:rPr>
        <w:t>tML</w:t>
      </w:r>
      <w:r w:rsidR="00EB7708">
        <w:rPr>
          <w:rFonts w:ascii="Calibri-Bold" w:hAnsi="Calibri-Bold" w:cs="Calibri-Bold"/>
          <w:b/>
          <w:bCs/>
          <w:sz w:val="36"/>
          <w:szCs w:val="36"/>
        </w:rPr>
        <w:t>-</w:t>
      </w:r>
      <w:r>
        <w:rPr>
          <w:rFonts w:ascii="Calibri-Bold" w:hAnsi="Calibri-Bold" w:cs="Calibri-Bold"/>
          <w:b/>
          <w:bCs/>
          <w:sz w:val="36"/>
          <w:szCs w:val="36"/>
        </w:rPr>
        <w:t>Modulträger</w:t>
      </w:r>
      <w:r w:rsidR="007B73CA">
        <w:rPr>
          <w:rFonts w:ascii="Calibri-Bold" w:hAnsi="Calibri-Bold" w:cs="Calibri-Bold"/>
          <w:b/>
          <w:bCs/>
          <w:sz w:val="36"/>
          <w:szCs w:val="36"/>
        </w:rPr>
        <w:t>s</w:t>
      </w:r>
      <w:r>
        <w:rPr>
          <w:rFonts w:ascii="Calibri-Bold" w:hAnsi="Calibri-Bold" w:cs="Calibri-Bold"/>
          <w:b/>
          <w:bCs/>
          <w:sz w:val="36"/>
          <w:szCs w:val="36"/>
        </w:rPr>
        <w:t xml:space="preserve"> für den Festeinbau vor</w:t>
      </w:r>
    </w:p>
    <w:p w14:paraId="102FBCB3" w14:textId="5B3E8E23" w:rsidR="00A0198F" w:rsidRDefault="0042686A" w:rsidP="0042686A">
      <w:pPr>
        <w:spacing w:line="360" w:lineRule="auto"/>
        <w:rPr>
          <w:b/>
          <w:bCs/>
        </w:rPr>
      </w:pPr>
      <w:r w:rsidRPr="0058210D">
        <w:rPr>
          <w:b/>
          <w:bCs/>
        </w:rPr>
        <w:t xml:space="preserve">Dortmund, </w:t>
      </w:r>
      <w:r w:rsidR="0096228C">
        <w:rPr>
          <w:b/>
          <w:bCs/>
        </w:rPr>
        <w:t xml:space="preserve">21. </w:t>
      </w:r>
      <w:r w:rsidR="0066660F">
        <w:rPr>
          <w:b/>
          <w:bCs/>
        </w:rPr>
        <w:t xml:space="preserve">September </w:t>
      </w:r>
      <w:r w:rsidRPr="0058210D">
        <w:rPr>
          <w:b/>
          <w:bCs/>
        </w:rPr>
        <w:t xml:space="preserve">2021. </w:t>
      </w:r>
      <w:r>
        <w:rPr>
          <w:b/>
          <w:bCs/>
        </w:rPr>
        <w:t>Der Dortmunder Netzwerk</w:t>
      </w:r>
      <w:r w:rsidR="00EB7708">
        <w:rPr>
          <w:b/>
          <w:bCs/>
        </w:rPr>
        <w:t>spez</w:t>
      </w:r>
      <w:r w:rsidR="00A0198F">
        <w:rPr>
          <w:b/>
          <w:bCs/>
        </w:rPr>
        <w:t>iali</w:t>
      </w:r>
      <w:r w:rsidR="00EB7708">
        <w:rPr>
          <w:b/>
          <w:bCs/>
        </w:rPr>
        <w:t>st</w:t>
      </w:r>
      <w:r>
        <w:rPr>
          <w:b/>
          <w:bCs/>
        </w:rPr>
        <w:t xml:space="preserve"> tde – trans data elektronik hat seinen </w:t>
      </w:r>
      <w:r w:rsidRPr="002233D9">
        <w:rPr>
          <w:b/>
          <w:bCs/>
        </w:rPr>
        <w:t>19-Zoll tML-Modulträger für den Festeinbau</w:t>
      </w:r>
      <w:r>
        <w:rPr>
          <w:b/>
          <w:bCs/>
        </w:rPr>
        <w:t xml:space="preserve"> grundlegend überarbeitet</w:t>
      </w:r>
      <w:r w:rsidR="00EB7708">
        <w:rPr>
          <w:b/>
          <w:bCs/>
        </w:rPr>
        <w:t>:</w:t>
      </w:r>
      <w:r>
        <w:rPr>
          <w:b/>
          <w:bCs/>
        </w:rPr>
        <w:t xml:space="preserve"> D</w:t>
      </w:r>
      <w:r w:rsidR="00EB7708">
        <w:rPr>
          <w:b/>
          <w:bCs/>
        </w:rPr>
        <w:t xml:space="preserve">as neue Modell </w:t>
      </w:r>
      <w:r>
        <w:rPr>
          <w:b/>
          <w:bCs/>
        </w:rPr>
        <w:t xml:space="preserve">präsentiert sich nicht nur </w:t>
      </w:r>
      <w:r w:rsidR="00A0198F">
        <w:rPr>
          <w:b/>
          <w:bCs/>
        </w:rPr>
        <w:t>im modernen</w:t>
      </w:r>
      <w:r>
        <w:rPr>
          <w:b/>
          <w:bCs/>
        </w:rPr>
        <w:t xml:space="preserve"> Design, sondern bringt auch eine verbesserte Funktionalität mit. Der tML-Modulträger hat eine Aufnahmekapazität von bis zu acht Modulen der Produktreihen tML</w:t>
      </w:r>
      <w:r w:rsidR="00D16A80">
        <w:rPr>
          <w:b/>
          <w:bCs/>
        </w:rPr>
        <w:t>-</w:t>
      </w:r>
      <w:r>
        <w:rPr>
          <w:b/>
          <w:bCs/>
        </w:rPr>
        <w:t>Standard, tML</w:t>
      </w:r>
      <w:r w:rsidR="00D16A80">
        <w:rPr>
          <w:b/>
          <w:bCs/>
        </w:rPr>
        <w:t>-</w:t>
      </w:r>
      <w:r>
        <w:rPr>
          <w:b/>
          <w:bCs/>
        </w:rPr>
        <w:t>Xtended</w:t>
      </w:r>
      <w:r w:rsidR="00CA017E">
        <w:rPr>
          <w:b/>
          <w:bCs/>
        </w:rPr>
        <w:t>,</w:t>
      </w:r>
      <w:r w:rsidR="00882498">
        <w:rPr>
          <w:b/>
          <w:bCs/>
        </w:rPr>
        <w:t xml:space="preserve"> </w:t>
      </w:r>
      <w:r>
        <w:rPr>
          <w:b/>
          <w:bCs/>
        </w:rPr>
        <w:t>tML</w:t>
      </w:r>
      <w:r w:rsidR="00D16A80">
        <w:rPr>
          <w:b/>
          <w:bCs/>
        </w:rPr>
        <w:t>-</w:t>
      </w:r>
      <w:r>
        <w:rPr>
          <w:b/>
          <w:bCs/>
        </w:rPr>
        <w:t>24</w:t>
      </w:r>
      <w:r w:rsidR="00CA017E">
        <w:rPr>
          <w:b/>
          <w:bCs/>
        </w:rPr>
        <w:t xml:space="preserve"> und tML-32</w:t>
      </w:r>
      <w:r>
        <w:rPr>
          <w:b/>
          <w:bCs/>
        </w:rPr>
        <w:t xml:space="preserve">. </w:t>
      </w:r>
      <w:r w:rsidRPr="00807968">
        <w:rPr>
          <w:b/>
          <w:bCs/>
        </w:rPr>
        <w:t>Bei voller Bestückung bietet er auf einer 19-Zoll-Höheneinheit Platz für 96</w:t>
      </w:r>
      <w:r w:rsidR="00D16A80">
        <w:rPr>
          <w:b/>
          <w:bCs/>
        </w:rPr>
        <w:t xml:space="preserve"> </w:t>
      </w:r>
      <w:r w:rsidRPr="00807968">
        <w:rPr>
          <w:b/>
          <w:bCs/>
        </w:rPr>
        <w:t>x LWL</w:t>
      </w:r>
      <w:r w:rsidR="00D16A80">
        <w:rPr>
          <w:b/>
          <w:bCs/>
        </w:rPr>
        <w:t>-</w:t>
      </w:r>
      <w:r w:rsidRPr="00807968">
        <w:rPr>
          <w:b/>
          <w:bCs/>
        </w:rPr>
        <w:t>LC-Duplex Ports mit 192 Fasern, 96</w:t>
      </w:r>
      <w:r w:rsidR="00D16A80">
        <w:rPr>
          <w:b/>
          <w:bCs/>
        </w:rPr>
        <w:t xml:space="preserve"> </w:t>
      </w:r>
      <w:r w:rsidRPr="00807968">
        <w:rPr>
          <w:b/>
          <w:bCs/>
        </w:rPr>
        <w:t>x 12-Faser-MPO</w:t>
      </w:r>
      <w:r w:rsidR="00AB67C3">
        <w:rPr>
          <w:b/>
          <w:bCs/>
        </w:rPr>
        <w:t>s</w:t>
      </w:r>
      <w:r w:rsidRPr="00807968">
        <w:rPr>
          <w:b/>
          <w:bCs/>
        </w:rPr>
        <w:t xml:space="preserve"> mit 1152 Fasern oder 96</w:t>
      </w:r>
      <w:r w:rsidR="00D16A80">
        <w:rPr>
          <w:b/>
          <w:bCs/>
        </w:rPr>
        <w:t xml:space="preserve"> </w:t>
      </w:r>
      <w:r w:rsidRPr="00807968">
        <w:rPr>
          <w:b/>
          <w:bCs/>
        </w:rPr>
        <w:t>x 24-Faser-MPO</w:t>
      </w:r>
      <w:r w:rsidR="00AB67C3">
        <w:rPr>
          <w:b/>
          <w:bCs/>
        </w:rPr>
        <w:t>s</w:t>
      </w:r>
      <w:r w:rsidRPr="00807968">
        <w:rPr>
          <w:b/>
          <w:bCs/>
        </w:rPr>
        <w:t xml:space="preserve"> mit 2304 Fasern. </w:t>
      </w:r>
      <w:r w:rsidR="009D7C75">
        <w:rPr>
          <w:b/>
          <w:bCs/>
        </w:rPr>
        <w:t xml:space="preserve">In Verbindung mit dem </w:t>
      </w:r>
      <w:r w:rsidR="009D7C75" w:rsidRPr="00577280">
        <w:rPr>
          <w:rFonts w:ascii="Calibri-Bold" w:hAnsi="Calibri-Bold" w:cs="Calibri-Bold"/>
          <w:b/>
          <w:bCs/>
        </w:rPr>
        <w:t>LWL-MDC-Modul</w:t>
      </w:r>
      <w:r w:rsidR="009D7C75">
        <w:rPr>
          <w:rFonts w:ascii="Calibri-Bold" w:hAnsi="Calibri-Bold" w:cs="Calibri-Bold"/>
          <w:b/>
          <w:bCs/>
        </w:rPr>
        <w:t xml:space="preserve"> erreicht der Modulträger eine Verdoppelung der Packungsdichte gegenüber LC-Duplex und bietet </w:t>
      </w:r>
      <w:r w:rsidR="009D7C75" w:rsidRPr="00807968">
        <w:rPr>
          <w:b/>
          <w:bCs/>
        </w:rPr>
        <w:t>in Kombination mit dem innovativen tML</w:t>
      </w:r>
      <w:r w:rsidR="00991802">
        <w:rPr>
          <w:b/>
          <w:bCs/>
        </w:rPr>
        <w:t>-</w:t>
      </w:r>
      <w:r w:rsidR="009D7C75" w:rsidRPr="00807968">
        <w:rPr>
          <w:b/>
          <w:bCs/>
        </w:rPr>
        <w:t>24</w:t>
      </w:r>
      <w:r w:rsidR="009D7C75">
        <w:rPr>
          <w:rFonts w:ascii="Calibri-Bold" w:hAnsi="Calibri-Bold" w:cs="Calibri-Bold"/>
          <w:b/>
          <w:bCs/>
        </w:rPr>
        <w:t xml:space="preserve"> die branchenweit </w:t>
      </w:r>
      <w:r w:rsidR="00991802">
        <w:rPr>
          <w:rFonts w:ascii="Calibri-Bold" w:hAnsi="Calibri-Bold" w:cs="Calibri-Bold"/>
          <w:b/>
          <w:bCs/>
        </w:rPr>
        <w:t xml:space="preserve">höchste </w:t>
      </w:r>
      <w:r w:rsidRPr="00807968">
        <w:rPr>
          <w:b/>
          <w:bCs/>
        </w:rPr>
        <w:t>Packungsdichte und größte Flexibilität bei der Migration zu hohen Übertragungsraten</w:t>
      </w:r>
      <w:r w:rsidR="009D7C75">
        <w:rPr>
          <w:b/>
          <w:bCs/>
        </w:rPr>
        <w:t xml:space="preserve">. </w:t>
      </w:r>
    </w:p>
    <w:p w14:paraId="0685C773" w14:textId="045FF709" w:rsidR="00A0198F" w:rsidRDefault="0042686A" w:rsidP="0042686A">
      <w:pPr>
        <w:spacing w:line="360" w:lineRule="auto"/>
      </w:pPr>
      <w:r>
        <w:t xml:space="preserve">Das Design hat der Netzwerkspezialist an den seit 2017 </w:t>
      </w:r>
      <w:r w:rsidR="009D7C75">
        <w:t>a</w:t>
      </w:r>
      <w:r>
        <w:t xml:space="preserve">m Markt </w:t>
      </w:r>
      <w:r w:rsidR="009D7C75">
        <w:t xml:space="preserve">erfolgreichen </w:t>
      </w:r>
      <w:r>
        <w:t>ausziehbaren Modulträger angeglichen. Damit wirkt der Träger</w:t>
      </w:r>
      <w:r w:rsidR="00E715C8">
        <w:t>, bei dem die Befestigung der Module über Schrauben in der Frontplatte erfolgt,</w:t>
      </w:r>
      <w:r>
        <w:t xml:space="preserve"> im Vergleich zum Vorgängermodell deutlich moderner. Der stabile </w:t>
      </w:r>
      <w:r w:rsidR="000A0001">
        <w:t>Träger</w:t>
      </w:r>
      <w:r>
        <w:t xml:space="preserve"> </w:t>
      </w:r>
      <w:r w:rsidR="006C5508">
        <w:t>besitzt ein einteiliges Design</w:t>
      </w:r>
      <w:r>
        <w:t xml:space="preserve">. </w:t>
      </w:r>
      <w:r w:rsidR="00E715C8">
        <w:t>„</w:t>
      </w:r>
      <w:r>
        <w:t>Zusätzliche Teile</w:t>
      </w:r>
      <w:r w:rsidR="009D7C75">
        <w:t>,</w:t>
      </w:r>
      <w:r>
        <w:t xml:space="preserve"> wie </w:t>
      </w:r>
      <w:r w:rsidR="00E715C8">
        <w:t xml:space="preserve">etwa </w:t>
      </w:r>
      <w:r>
        <w:t>Einführungen für Breakoutkabel</w:t>
      </w:r>
      <w:r w:rsidR="009D7C75">
        <w:t>,</w:t>
      </w:r>
      <w:r>
        <w:t xml:space="preserve"> sind nicht notwendi</w:t>
      </w:r>
      <w:r w:rsidR="00E715C8">
        <w:t>g – d</w:t>
      </w:r>
      <w:r>
        <w:t>iese</w:t>
      </w:r>
      <w:r w:rsidR="00E715C8">
        <w:t xml:space="preserve"> sind</w:t>
      </w:r>
      <w:r>
        <w:t xml:space="preserve"> bereits rückseitig über die gesamte Breite integriert</w:t>
      </w:r>
      <w:r w:rsidR="00E715C8">
        <w:t>“</w:t>
      </w:r>
      <w:r w:rsidR="00FD2990">
        <w:t>,</w:t>
      </w:r>
      <w:r w:rsidR="00E715C8">
        <w:t xml:space="preserve"> erläutert André Engel, Geschäftsführer der tde</w:t>
      </w:r>
      <w:r>
        <w:t xml:space="preserve">. </w:t>
      </w:r>
      <w:r w:rsidR="00E715C8">
        <w:t xml:space="preserve">„Das </w:t>
      </w:r>
      <w:r w:rsidR="00521C2A">
        <w:t>spart Netzwerktechnikern bei der Montage vor Ort Zeit</w:t>
      </w:r>
      <w:r>
        <w:t>.</w:t>
      </w:r>
      <w:r w:rsidR="00E715C8">
        <w:t>“</w:t>
      </w:r>
      <w:r w:rsidR="0065182F">
        <w:t xml:space="preserve"> </w:t>
      </w:r>
    </w:p>
    <w:p w14:paraId="142E05BA" w14:textId="1632E266" w:rsidR="0042686A" w:rsidRDefault="0065182F" w:rsidP="0042686A">
      <w:pPr>
        <w:spacing w:line="360" w:lineRule="auto"/>
      </w:pPr>
      <w:r>
        <w:t xml:space="preserve">Um </w:t>
      </w:r>
      <w:r w:rsidR="00BC7C3E">
        <w:t xml:space="preserve">die wertvollen </w:t>
      </w:r>
      <w:r>
        <w:t>Install</w:t>
      </w:r>
      <w:r w:rsidR="00BC7C3E">
        <w:t>a</w:t>
      </w:r>
      <w:r>
        <w:t>tionszeiten w</w:t>
      </w:r>
      <w:r w:rsidR="00BC7C3E">
        <w:t>e</w:t>
      </w:r>
      <w:r>
        <w:t>iter zu re</w:t>
      </w:r>
      <w:r w:rsidR="00BC7C3E">
        <w:t>d</w:t>
      </w:r>
      <w:r>
        <w:t>uzi</w:t>
      </w:r>
      <w:r w:rsidR="00BC7C3E">
        <w:t>e</w:t>
      </w:r>
      <w:r>
        <w:t xml:space="preserve">ren, </w:t>
      </w:r>
      <w:r w:rsidR="00BC7C3E">
        <w:t xml:space="preserve">kann auch die vom ausziehbaren Modulträger bekannte, </w:t>
      </w:r>
      <w:r w:rsidR="00521C2A">
        <w:t xml:space="preserve">formschöne </w:t>
      </w:r>
      <w:r w:rsidR="0042686A">
        <w:t>Abdeckung mit integrierter Patchkabel</w:t>
      </w:r>
      <w:r w:rsidR="00521C2A">
        <w:t>f</w:t>
      </w:r>
      <w:r w:rsidR="0042686A">
        <w:t>ührung</w:t>
      </w:r>
      <w:r w:rsidR="00BC7C3E">
        <w:t xml:space="preserve"> </w:t>
      </w:r>
      <w:r w:rsidR="0042686A">
        <w:t>zum Einsatz kommen</w:t>
      </w:r>
      <w:r w:rsidR="000A0001">
        <w:t xml:space="preserve">. </w:t>
      </w:r>
      <w:r w:rsidR="00BC7C3E">
        <w:t>Sie verbessert die horizontale Patchkabelführung und</w:t>
      </w:r>
      <w:r w:rsidR="006C5508">
        <w:t xml:space="preserve"> stellt einen Zugriffsschutz für die Ports da</w:t>
      </w:r>
      <w:r w:rsidR="00882498">
        <w:t>r</w:t>
      </w:r>
      <w:r w:rsidR="00BC7C3E">
        <w:t xml:space="preserve">. </w:t>
      </w:r>
      <w:r w:rsidR="00521C2A">
        <w:t xml:space="preserve">Netzwerktechniker </w:t>
      </w:r>
      <w:r w:rsidR="00BC7C3E">
        <w:t xml:space="preserve">erhalten damit </w:t>
      </w:r>
      <w:r w:rsidR="00521C2A">
        <w:t>zugleich die Option</w:t>
      </w:r>
      <w:r w:rsidR="00712046">
        <w:t xml:space="preserve">, </w:t>
      </w:r>
      <w:r w:rsidR="00521C2A">
        <w:t xml:space="preserve">den magnetischen </w:t>
      </w:r>
      <w:r w:rsidR="00D7542D">
        <w:t>B</w:t>
      </w:r>
      <w:r w:rsidR="00521C2A">
        <w:t>es</w:t>
      </w:r>
      <w:r w:rsidR="00D7542D">
        <w:t>c</w:t>
      </w:r>
      <w:r w:rsidR="00521C2A">
        <w:t>h</w:t>
      </w:r>
      <w:r w:rsidR="00712046">
        <w:t>r</w:t>
      </w:r>
      <w:r w:rsidR="00521C2A">
        <w:t>iftungsstreif</w:t>
      </w:r>
      <w:r w:rsidR="00712046">
        <w:t>e</w:t>
      </w:r>
      <w:r w:rsidR="00521C2A">
        <w:t xml:space="preserve">n </w:t>
      </w:r>
      <w:r w:rsidR="00712046">
        <w:t>zu beschriften und die Verkabelung sauber zu dokumentieren.</w:t>
      </w:r>
      <w:r w:rsidR="00A0198F">
        <w:t xml:space="preserve"> </w:t>
      </w:r>
      <w:r w:rsidR="00712046">
        <w:t xml:space="preserve">Kunden profitieren mit dem neuen tML-Modulträger für den Festeinbau von verbesserter Funktionalität </w:t>
      </w:r>
      <w:r>
        <w:t>bei gleichzeitiger Preisstabilität: D</w:t>
      </w:r>
      <w:r w:rsidR="0042686A">
        <w:t xml:space="preserve">er neue Modulträger </w:t>
      </w:r>
      <w:r w:rsidR="00A0198F">
        <w:t xml:space="preserve">ist </w:t>
      </w:r>
      <w:r w:rsidR="0042686A">
        <w:t>nicht teurer als die Vorgängerversion</w:t>
      </w:r>
      <w:r>
        <w:t xml:space="preserve">. </w:t>
      </w:r>
    </w:p>
    <w:p w14:paraId="6D5F3F8E" w14:textId="77777777" w:rsidR="007B73CA" w:rsidRDefault="007B73CA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003EB16D" w14:textId="34C7BB0A" w:rsidR="0042686A" w:rsidRPr="0042686A" w:rsidRDefault="0042686A">
      <w:pPr>
        <w:spacing w:after="160" w:line="259" w:lineRule="auto"/>
        <w:rPr>
          <w:i/>
          <w:iCs/>
        </w:rPr>
      </w:pPr>
      <w:r w:rsidRPr="0042686A">
        <w:rPr>
          <w:i/>
          <w:iCs/>
        </w:rPr>
        <w:lastRenderedPageBreak/>
        <w:t>Höchste Packungsdichte</w:t>
      </w:r>
    </w:p>
    <w:p w14:paraId="449E6E50" w14:textId="4454A69E" w:rsidR="0042686A" w:rsidRDefault="00AD2734" w:rsidP="000A0001">
      <w:pPr>
        <w:spacing w:line="360" w:lineRule="auto"/>
      </w:pPr>
      <w:r>
        <w:t>Wie der ausziehbare Modulträger punktet auch der neue tML-Modulträger für den Festeinbau in Verbindung mit den tML-Systemplattformen mit maximalen Packungsdichten und größter Flexibilität bei der Migration zu hohen Übertragungsraten</w:t>
      </w:r>
      <w:r w:rsidR="0092226B">
        <w:t xml:space="preserve"> von derzeit 400 G</w:t>
      </w:r>
      <w:r w:rsidR="00D83807">
        <w:t xml:space="preserve">: </w:t>
      </w:r>
      <w:r w:rsidR="0042686A" w:rsidRPr="00044451">
        <w:t>Bei voller Bestückung mit acht Modulen kann der neue 19-Zoll</w:t>
      </w:r>
      <w:r w:rsidR="00D83807">
        <w:t xml:space="preserve"> tML</w:t>
      </w:r>
      <w:r w:rsidR="0042686A" w:rsidRPr="00044451">
        <w:t>-Modulträger bis zu 96</w:t>
      </w:r>
      <w:r w:rsidR="00D83807">
        <w:t xml:space="preserve"> </w:t>
      </w:r>
      <w:r w:rsidR="0042686A" w:rsidRPr="00044451">
        <w:t>x LWL</w:t>
      </w:r>
      <w:r w:rsidR="00D83807">
        <w:t>-</w:t>
      </w:r>
      <w:r w:rsidR="0042686A" w:rsidRPr="00044451">
        <w:t>LC-Duplex Ports mit 192 Fasern, 96</w:t>
      </w:r>
      <w:r w:rsidR="00D83807">
        <w:t xml:space="preserve"> </w:t>
      </w:r>
      <w:r w:rsidR="0042686A" w:rsidRPr="00044451">
        <w:t>x 12-Faser-MPO</w:t>
      </w:r>
      <w:r w:rsidR="00AB67C3">
        <w:t>s</w:t>
      </w:r>
      <w:r w:rsidR="00A0198F">
        <w:t xml:space="preserve"> </w:t>
      </w:r>
      <w:r w:rsidR="0042686A" w:rsidRPr="00044451">
        <w:t>mit 1152 Fasern oder 96</w:t>
      </w:r>
      <w:r w:rsidR="00D83807">
        <w:t xml:space="preserve"> x</w:t>
      </w:r>
      <w:r w:rsidR="0042686A" w:rsidRPr="00044451">
        <w:t xml:space="preserve"> 24-Faser-MPO</w:t>
      </w:r>
      <w:r w:rsidR="00AB67C3">
        <w:t>s</w:t>
      </w:r>
      <w:r w:rsidR="0042686A" w:rsidRPr="00044451">
        <w:t xml:space="preserve"> mit 2304 Fasern aufnehmen. </w:t>
      </w:r>
      <w:r w:rsidR="00D83807">
        <w:t xml:space="preserve">Auch </w:t>
      </w:r>
      <w:r w:rsidR="0042686A" w:rsidRPr="00044451">
        <w:t>Belegungen mit 16-Faser-MPO</w:t>
      </w:r>
      <w:r w:rsidR="00AB67C3">
        <w:t>s</w:t>
      </w:r>
      <w:r w:rsidR="0042686A" w:rsidRPr="00044451">
        <w:t>, 32-Faser-MPO</w:t>
      </w:r>
      <w:r w:rsidR="00AB67C3">
        <w:t>s</w:t>
      </w:r>
      <w:r w:rsidR="00D83807">
        <w:t xml:space="preserve"> sind möglich</w:t>
      </w:r>
      <w:r w:rsidR="0042686A" w:rsidRPr="00044451">
        <w:t xml:space="preserve">. Innerhalb eines Modulträgers lassen sich unterschiedliche Module mit LWL- und Kupfer-Ports, beispielsweise RJ45, kombinieren. </w:t>
      </w:r>
      <w:r w:rsidR="00991802">
        <w:t>Mit dem 2020 eingeführten und branchenweit ersten LWL-MDC-Modul für die tML-Plattform erzielen Unternehmen, Planer und Netzwerktechniker eine Verdoppelung der Packungsdichte im Patchbereich im Vergleich zu LC-Duplex-Steckverbindern</w:t>
      </w:r>
      <w:r w:rsidR="0092226B">
        <w:t>: Dafür hat die tde als erster Hersteller den kompakten MDC-Steckverbinder von US Conec in ihr tML-Verkabelungs</w:t>
      </w:r>
      <w:r w:rsidR="00AB67C3">
        <w:t>s</w:t>
      </w:r>
      <w:r w:rsidR="0092226B">
        <w:t xml:space="preserve">ystem integriert. Gleichwohl sind </w:t>
      </w:r>
      <w:r w:rsidR="0042686A">
        <w:t>auch</w:t>
      </w:r>
      <w:r w:rsidR="0042686A" w:rsidRPr="00044451">
        <w:t xml:space="preserve"> ältere Anschlusstechnologien wie SC, ST oder E2000</w:t>
      </w:r>
      <w:r w:rsidR="0042686A">
        <w:t xml:space="preserve"> </w:t>
      </w:r>
      <w:r w:rsidR="0092226B">
        <w:t xml:space="preserve">mit dem tML kompatibel. </w:t>
      </w:r>
    </w:p>
    <w:p w14:paraId="6B5E8F5E" w14:textId="77777777" w:rsidR="0092226B" w:rsidRDefault="0092226B" w:rsidP="0092226B">
      <w:pPr>
        <w:spacing w:line="360" w:lineRule="auto"/>
      </w:pPr>
      <w:r w:rsidRPr="00882498">
        <w:rPr>
          <w:bCs/>
          <w:i/>
          <w:iCs/>
        </w:rPr>
        <w:t>Das tML – tde Modular Link-System</w:t>
      </w:r>
      <w:r w:rsidRPr="00882498">
        <w:rPr>
          <w:bCs/>
          <w:i/>
          <w:iCs/>
        </w:rPr>
        <w:br/>
      </w:r>
      <w:r>
        <w:t xml:space="preserve">Das </w:t>
      </w:r>
      <w:r w:rsidRPr="00512DB3">
        <w:t xml:space="preserve">patentierte modular aufgebaute Verkabelungssystem tML </w:t>
      </w:r>
      <w:r>
        <w:t xml:space="preserve">besteht </w:t>
      </w:r>
      <w:r w:rsidRPr="00512DB3">
        <w:t xml:space="preserve">aus den drei Kernkomponenten Modul, Trunkkabel und Modulträger. Die Systemkomponenten sind zu 100 Prozent in Deutschland gefertigt, vorkonfektioniert und getestet. </w:t>
      </w:r>
      <w:r>
        <w:t>V</w:t>
      </w:r>
      <w:r w:rsidRPr="00512DB3">
        <w:t xml:space="preserve">or Ort – insbesondere in Rechenzentren, aber auch in industriellen Umgebungen – </w:t>
      </w:r>
      <w:r>
        <w:t xml:space="preserve">ermöglichen sie die </w:t>
      </w:r>
      <w:r w:rsidRPr="00512DB3">
        <w:t>Plug-und-play-Installation innerhalb kürzester Zeit. Herz des Systems sind die rückseitigen MPO</w:t>
      </w:r>
      <w:r>
        <w:t>-</w:t>
      </w:r>
      <w:r w:rsidRPr="00512DB3">
        <w:t xml:space="preserve">/MTP- und Telco-Steckverbinder, über die </w:t>
      </w:r>
      <w:r>
        <w:t xml:space="preserve">sich </w:t>
      </w:r>
      <w:r w:rsidRPr="00512DB3">
        <w:t>mindestens sechs b</w:t>
      </w:r>
      <w:r>
        <w:t xml:space="preserve">eziehungsweise </w:t>
      </w:r>
      <w:r w:rsidRPr="00512DB3">
        <w:t>zwölf Ports auf einmal verb</w:t>
      </w:r>
      <w:r>
        <w:t>i</w:t>
      </w:r>
      <w:r w:rsidRPr="00512DB3">
        <w:t xml:space="preserve">nden </w:t>
      </w:r>
      <w:r>
        <w:t>lassen</w:t>
      </w:r>
      <w:r w:rsidRPr="00512DB3">
        <w:t>. Je nach Modulbestückung sind derzeit Übertragungsraten von bis zu 400</w:t>
      </w:r>
      <w:r>
        <w:t xml:space="preserve"> </w:t>
      </w:r>
      <w:r w:rsidRPr="00512DB3">
        <w:t>G möglich. Die LWL- und TP-Module lassen sich zusammen in einem Modulträger mit sehr hoher Portdichte gemischt einsetzen</w:t>
      </w:r>
      <w:r>
        <w:t>.</w:t>
      </w:r>
    </w:p>
    <w:p w14:paraId="0E1AD231" w14:textId="48ECC5C8" w:rsidR="007B73CA" w:rsidRDefault="00E843AA" w:rsidP="0042686A">
      <w:pPr>
        <w:rPr>
          <w:rStyle w:val="Hyperlink"/>
          <w:rFonts w:cs="Calibri"/>
          <w:sz w:val="18"/>
        </w:rPr>
      </w:pPr>
      <w:r>
        <w:rPr>
          <w:rFonts w:cs="Verdana"/>
          <w:b/>
          <w:bCs/>
          <w:sz w:val="18"/>
          <w:szCs w:val="16"/>
        </w:rPr>
        <w:t>Über die tde – trans data elektronik GmbH</w:t>
      </w:r>
      <w:r>
        <w:rPr>
          <w:sz w:val="18"/>
          <w:szCs w:val="16"/>
        </w:rPr>
        <w:br/>
        <w:t xml:space="preserve">Als international erfolgreiches Unternehmen ist die tde – trans data elektronik GmbH seit </w:t>
      </w:r>
      <w:r w:rsidR="006E283C">
        <w:rPr>
          <w:sz w:val="18"/>
          <w:szCs w:val="16"/>
        </w:rPr>
        <w:t>30</w:t>
      </w:r>
      <w:r>
        <w:rPr>
          <w:sz w:val="18"/>
          <w:szCs w:val="16"/>
        </w:rPr>
        <w:t xml:space="preserve"> Jahren auf die Entwicklung und Herstellung skalierbarer Verkabelungssysteme für größte Packungsdichten spezialisiert. Auch das </w:t>
      </w:r>
      <w:r>
        <w:rPr>
          <w:rFonts w:cs="Cambria"/>
          <w:sz w:val="18"/>
          <w:szCs w:val="16"/>
        </w:rPr>
        <w:t xml:space="preserve">Kernforschungszentrum </w:t>
      </w:r>
      <w:r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>
        <w:rPr>
          <w:sz w:val="18"/>
          <w:szCs w:val="16"/>
        </w:rPr>
        <w:t xml:space="preserve"> Mehrfasertechnik (MPO)</w:t>
      </w:r>
      <w:r>
        <w:rPr>
          <w:color w:val="000000"/>
          <w:sz w:val="18"/>
          <w:szCs w:val="16"/>
        </w:rPr>
        <w:t xml:space="preserve">. </w:t>
      </w:r>
      <w:r w:rsidR="000B2741">
        <w:rPr>
          <w:color w:val="000000"/>
          <w:sz w:val="18"/>
          <w:szCs w:val="16"/>
        </w:rPr>
        <w:br/>
      </w:r>
      <w:r>
        <w:rPr>
          <w:color w:val="000000"/>
          <w:sz w:val="18"/>
          <w:szCs w:val="16"/>
        </w:rPr>
        <w:t xml:space="preserve">Das Portfolio </w:t>
      </w:r>
      <w:r>
        <w:rPr>
          <w:sz w:val="18"/>
          <w:szCs w:val="16"/>
        </w:rPr>
        <w:t xml:space="preserve">„Made in Germany“ </w:t>
      </w:r>
      <w:r>
        <w:rPr>
          <w:color w:val="000000"/>
          <w:sz w:val="18"/>
          <w:szCs w:val="16"/>
        </w:rPr>
        <w:t>umfasst komplette Systemlösungen mit Schwerpunkt Plug-and-play</w:t>
      </w:r>
      <w:r>
        <w:rPr>
          <w:sz w:val="18"/>
          <w:szCs w:val="16"/>
        </w:rPr>
        <w:t xml:space="preserve"> für High-Speed-Anwendungen im Bereich Datacom, Telecom, Industry, Medical und Defence. tde bietet mit einer eigenen Service-Abteilung Planungs- und Installationsleistungen aus einer Hand und unterstützt den „European Code of Conduct“ für Energieeffizienz in Rechenzentren. </w:t>
      </w:r>
      <w:r w:rsidR="004576F2">
        <w:rPr>
          <w:sz w:val="18"/>
          <w:szCs w:val="16"/>
        </w:rPr>
        <w:t xml:space="preserve">Mehr unter: </w:t>
      </w:r>
      <w:hyperlink r:id="rId10" w:history="1">
        <w:r w:rsidR="004576F2">
          <w:rPr>
            <w:rStyle w:val="Hyperlink"/>
            <w:rFonts w:cs="Calibri"/>
            <w:sz w:val="18"/>
          </w:rPr>
          <w:t>www.tde.de</w:t>
        </w:r>
      </w:hyperlink>
      <w:r w:rsidR="004576F2">
        <w:rPr>
          <w:rStyle w:val="Hyperlink"/>
          <w:rFonts w:cs="Calibri"/>
          <w:sz w:val="18"/>
        </w:rPr>
        <w:t xml:space="preserve"> </w:t>
      </w:r>
      <w:r w:rsidR="004576F2" w:rsidRPr="008379C6">
        <w:rPr>
          <w:sz w:val="18"/>
          <w:szCs w:val="16"/>
        </w:rPr>
        <w:t xml:space="preserve">sowie auf </w:t>
      </w:r>
      <w:hyperlink r:id="rId11" w:history="1">
        <w:r w:rsidR="004576F2" w:rsidRPr="008379C6">
          <w:rPr>
            <w:rStyle w:val="Hyperlink"/>
            <w:rFonts w:cs="Calibri"/>
            <w:sz w:val="18"/>
            <w:szCs w:val="16"/>
          </w:rPr>
          <w:t>LinkedIn</w:t>
        </w:r>
      </w:hyperlink>
      <w:r w:rsidR="004576F2" w:rsidRPr="008379C6">
        <w:rPr>
          <w:sz w:val="18"/>
          <w:szCs w:val="16"/>
        </w:rPr>
        <w:t xml:space="preserve">, </w:t>
      </w:r>
      <w:hyperlink r:id="rId12" w:history="1">
        <w:r w:rsidR="004576F2" w:rsidRPr="008379C6">
          <w:rPr>
            <w:rStyle w:val="Hyperlink"/>
            <w:rFonts w:cs="Calibri"/>
            <w:sz w:val="18"/>
            <w:szCs w:val="16"/>
          </w:rPr>
          <w:t>Twitter</w:t>
        </w:r>
      </w:hyperlink>
      <w:r w:rsidR="004576F2" w:rsidRPr="008379C6">
        <w:rPr>
          <w:sz w:val="18"/>
          <w:szCs w:val="16"/>
        </w:rPr>
        <w:t xml:space="preserve"> und </w:t>
      </w:r>
      <w:hyperlink r:id="rId13" w:history="1">
        <w:r w:rsidR="004576F2" w:rsidRPr="000C77E9">
          <w:rPr>
            <w:rStyle w:val="Hyperlink"/>
            <w:rFonts w:cs="Calibri"/>
            <w:sz w:val="18"/>
            <w:szCs w:val="16"/>
          </w:rPr>
          <w:t>Xing</w:t>
        </w:r>
      </w:hyperlink>
      <w:r w:rsidR="004576F2" w:rsidRPr="008379C6">
        <w:rPr>
          <w:sz w:val="18"/>
          <w:szCs w:val="16"/>
        </w:rPr>
        <w:t xml:space="preserve">. </w:t>
      </w:r>
      <w:r w:rsidR="004576F2">
        <w:rPr>
          <w:sz w:val="18"/>
          <w:szCs w:val="16"/>
        </w:rPr>
        <w:br/>
      </w:r>
      <w:r w:rsidR="004576F2">
        <w:rPr>
          <w:sz w:val="18"/>
          <w:szCs w:val="16"/>
        </w:rPr>
        <w:br/>
      </w:r>
      <w:r>
        <w:rPr>
          <w:rFonts w:cs="Verdana"/>
          <w:b/>
          <w:bCs/>
          <w:sz w:val="18"/>
          <w:szCs w:val="16"/>
        </w:rPr>
        <w:t>Unternehmenskontakt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tde – trans data elektronik GmbH, Vertriebsbüro Dortmund</w:t>
      </w:r>
      <w:r>
        <w:rPr>
          <w:sz w:val="18"/>
          <w:szCs w:val="16"/>
        </w:rPr>
        <w:br/>
        <w:t>André Engel, Prinz-Friedrich-Karl-Str. 46, D - 44135 Dortmund</w:t>
      </w:r>
      <w:r>
        <w:rPr>
          <w:sz w:val="18"/>
          <w:szCs w:val="16"/>
        </w:rPr>
        <w:br/>
        <w:t xml:space="preserve">Tel. +49 231 160480, Fax +49 231 160933, </w:t>
      </w:r>
      <w:hyperlink r:id="rId14" w:history="1">
        <w:r>
          <w:rPr>
            <w:rStyle w:val="Hyperlink"/>
            <w:rFonts w:cs="Calibri"/>
            <w:sz w:val="18"/>
          </w:rPr>
          <w:t>info@tde.de</w:t>
        </w:r>
      </w:hyperlink>
      <w:r>
        <w:rPr>
          <w:sz w:val="18"/>
          <w:szCs w:val="16"/>
        </w:rPr>
        <w:t xml:space="preserve">, </w:t>
      </w:r>
      <w:hyperlink r:id="rId15" w:history="1">
        <w:r>
          <w:rPr>
            <w:rStyle w:val="Hyperlink"/>
            <w:rFonts w:cs="Calibri"/>
            <w:sz w:val="18"/>
          </w:rPr>
          <w:t>www.tde.de</w:t>
        </w:r>
      </w:hyperlink>
    </w:p>
    <w:p w14:paraId="3E6C5556" w14:textId="77777777" w:rsidR="007B73CA" w:rsidRDefault="007B73CA">
      <w:pPr>
        <w:spacing w:after="160" w:line="259" w:lineRule="auto"/>
        <w:rPr>
          <w:rStyle w:val="Hyperlink"/>
          <w:rFonts w:cs="Calibri"/>
          <w:sz w:val="18"/>
        </w:rPr>
      </w:pPr>
      <w:r>
        <w:rPr>
          <w:rStyle w:val="Hyperlink"/>
          <w:rFonts w:cs="Calibri"/>
          <w:sz w:val="18"/>
        </w:rPr>
        <w:br w:type="page"/>
      </w:r>
    </w:p>
    <w:p w14:paraId="35FE543A" w14:textId="77777777" w:rsidR="00E843AA" w:rsidRDefault="00E843AA" w:rsidP="00E843AA">
      <w:pPr>
        <w:spacing w:after="0"/>
        <w:jc w:val="both"/>
      </w:pPr>
      <w:r>
        <w:rPr>
          <w:rFonts w:cs="Verdana"/>
          <w:b/>
          <w:bCs/>
          <w:sz w:val="18"/>
          <w:szCs w:val="16"/>
        </w:rPr>
        <w:lastRenderedPageBreak/>
        <w:t>Pressekontakt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epr – elsaesser public relations, Maximilianstraße 50, D - 86150 Augsburg</w:t>
      </w:r>
    </w:p>
    <w:p w14:paraId="78F21846" w14:textId="77777777" w:rsidR="00E843AA" w:rsidRDefault="00E843AA" w:rsidP="00E843AA">
      <w:pPr>
        <w:spacing w:after="0"/>
        <w:jc w:val="both"/>
      </w:pPr>
      <w:r>
        <w:rPr>
          <w:sz w:val="18"/>
          <w:szCs w:val="16"/>
        </w:rPr>
        <w:t xml:space="preserve">Frauke Schütz, Tel: +49 821 4508 7916, </w:t>
      </w:r>
      <w:hyperlink r:id="rId16" w:history="1">
        <w:r>
          <w:rPr>
            <w:rStyle w:val="Hyperlink"/>
            <w:rFonts w:cs="Calibri"/>
            <w:sz w:val="18"/>
          </w:rPr>
          <w:t>fs@epr-online.de</w:t>
        </w:r>
      </w:hyperlink>
    </w:p>
    <w:p w14:paraId="7A9A2226" w14:textId="31E63E27" w:rsidR="00E843AA" w:rsidRPr="00B06243" w:rsidRDefault="00C05B97" w:rsidP="00E843AA">
      <w:pPr>
        <w:spacing w:after="0"/>
        <w:jc w:val="both"/>
        <w:rPr>
          <w:sz w:val="18"/>
          <w:lang w:val="nl-NL"/>
        </w:rPr>
      </w:pPr>
      <w:r w:rsidRPr="00B06243">
        <w:rPr>
          <w:sz w:val="18"/>
          <w:szCs w:val="16"/>
          <w:lang w:val="nl-NL"/>
        </w:rPr>
        <w:t>Elke Thiergärtner</w:t>
      </w:r>
      <w:r w:rsidR="00E843AA" w:rsidRPr="00B06243">
        <w:rPr>
          <w:sz w:val="18"/>
          <w:szCs w:val="16"/>
          <w:lang w:val="nl-NL"/>
        </w:rPr>
        <w:t>, Tel: +49 821 4508 791</w:t>
      </w:r>
      <w:r w:rsidRPr="00B06243">
        <w:rPr>
          <w:sz w:val="18"/>
          <w:szCs w:val="16"/>
          <w:lang w:val="nl-NL"/>
        </w:rPr>
        <w:t>2</w:t>
      </w:r>
      <w:r w:rsidR="00E843AA" w:rsidRPr="00B06243">
        <w:rPr>
          <w:sz w:val="18"/>
          <w:szCs w:val="16"/>
          <w:lang w:val="nl-NL"/>
        </w:rPr>
        <w:t>,</w:t>
      </w:r>
      <w:r w:rsidR="00E843AA" w:rsidRPr="00B06243">
        <w:rPr>
          <w:b/>
          <w:sz w:val="18"/>
          <w:szCs w:val="16"/>
          <w:lang w:val="nl-NL"/>
        </w:rPr>
        <w:t xml:space="preserve"> </w:t>
      </w:r>
      <w:r w:rsidR="009D0F98" w:rsidRPr="00C071D0">
        <w:rPr>
          <w:rStyle w:val="Hyperlink"/>
          <w:rFonts w:cs="Calibri"/>
          <w:sz w:val="18"/>
          <w:lang w:val="nl-NL"/>
        </w:rPr>
        <w:t>et@epr-online.de</w:t>
      </w:r>
    </w:p>
    <w:p w14:paraId="571108C1" w14:textId="1C9D2D74" w:rsidR="00E843AA" w:rsidRPr="00E843AA" w:rsidRDefault="008F39CF" w:rsidP="001A7106">
      <w:pPr>
        <w:spacing w:after="0"/>
        <w:jc w:val="both"/>
        <w:rPr>
          <w:rFonts w:cs="Verdana"/>
          <w:sz w:val="18"/>
          <w:szCs w:val="16"/>
        </w:rPr>
      </w:pPr>
      <w:hyperlink r:id="rId17" w:history="1">
        <w:r w:rsidR="00690649" w:rsidRPr="009663BF">
          <w:rPr>
            <w:rStyle w:val="Hyperlink"/>
            <w:rFonts w:cs="Calibri"/>
            <w:sz w:val="18"/>
          </w:rPr>
          <w:t>www.epr-online.de</w:t>
        </w:r>
      </w:hyperlink>
      <w:r w:rsidR="001A7106" w:rsidRPr="00E843AA">
        <w:rPr>
          <w:rFonts w:cs="Verdana"/>
          <w:sz w:val="18"/>
          <w:szCs w:val="16"/>
        </w:rPr>
        <w:t xml:space="preserve"> </w:t>
      </w:r>
    </w:p>
    <w:sectPr w:rsidR="00E843AA" w:rsidRPr="00E843AA" w:rsidSect="006035BB">
      <w:headerReference w:type="default" r:id="rId1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01FC" w14:textId="77777777" w:rsidR="0050784F" w:rsidRDefault="0050784F" w:rsidP="00986D29">
      <w:pPr>
        <w:spacing w:after="0" w:line="240" w:lineRule="auto"/>
      </w:pPr>
      <w:r>
        <w:separator/>
      </w:r>
    </w:p>
  </w:endnote>
  <w:endnote w:type="continuationSeparator" w:id="0">
    <w:p w14:paraId="6777586A" w14:textId="77777777" w:rsidR="0050784F" w:rsidRDefault="0050784F" w:rsidP="00986D29">
      <w:pPr>
        <w:spacing w:after="0" w:line="240" w:lineRule="auto"/>
      </w:pPr>
      <w:r>
        <w:continuationSeparator/>
      </w:r>
    </w:p>
  </w:endnote>
  <w:endnote w:type="continuationNotice" w:id="1">
    <w:p w14:paraId="3C4EE747" w14:textId="77777777" w:rsidR="0050784F" w:rsidRDefault="00507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0F8D" w14:textId="77777777" w:rsidR="0050784F" w:rsidRDefault="0050784F" w:rsidP="00986D29">
      <w:pPr>
        <w:spacing w:after="0" w:line="240" w:lineRule="auto"/>
      </w:pPr>
      <w:r>
        <w:separator/>
      </w:r>
    </w:p>
  </w:footnote>
  <w:footnote w:type="continuationSeparator" w:id="0">
    <w:p w14:paraId="0E589212" w14:textId="77777777" w:rsidR="0050784F" w:rsidRDefault="0050784F" w:rsidP="00986D29">
      <w:pPr>
        <w:spacing w:after="0" w:line="240" w:lineRule="auto"/>
      </w:pPr>
      <w:r>
        <w:continuationSeparator/>
      </w:r>
    </w:p>
  </w:footnote>
  <w:footnote w:type="continuationNotice" w:id="1">
    <w:p w14:paraId="4F5A4CE6" w14:textId="77777777" w:rsidR="0050784F" w:rsidRDefault="005078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9F0" w14:textId="7EF65418" w:rsidR="00C05B97" w:rsidRDefault="00C05B97" w:rsidP="00986D29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C8893C5" wp14:editId="3C9A1A78">
          <wp:simplePos x="0" y="0"/>
          <wp:positionH relativeFrom="column">
            <wp:posOffset>4752975</wp:posOffset>
          </wp:positionH>
          <wp:positionV relativeFrom="paragraph">
            <wp:posOffset>-40640</wp:posOffset>
          </wp:positionV>
          <wp:extent cx="1416050" cy="659130"/>
          <wp:effectExtent l="0" t="0" r="0" b="762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50924" w14:textId="1B3C7DA0" w:rsidR="0042686A" w:rsidRDefault="0042686A" w:rsidP="00986D29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7AAC2AE7" w14:textId="39F6E092" w:rsidR="0042686A" w:rsidRDefault="0042686A" w:rsidP="00986D29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4F12163B" w14:textId="03EBC36F" w:rsidR="0042686A" w:rsidRDefault="0042686A" w:rsidP="00986D29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06B51F51" w14:textId="77777777" w:rsidR="0042686A" w:rsidRDefault="0042686A" w:rsidP="00986D29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1A6126C7" w14:textId="77777777" w:rsidR="00C05B97" w:rsidRDefault="00C05B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9BD"/>
    <w:multiLevelType w:val="hybridMultilevel"/>
    <w:tmpl w:val="FEB63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6A96"/>
    <w:multiLevelType w:val="hybridMultilevel"/>
    <w:tmpl w:val="958A789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C02AD8"/>
    <w:multiLevelType w:val="hybridMultilevel"/>
    <w:tmpl w:val="802804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74"/>
    <w:rsid w:val="00003B1E"/>
    <w:rsid w:val="00017639"/>
    <w:rsid w:val="00030B21"/>
    <w:rsid w:val="000366E5"/>
    <w:rsid w:val="0003707D"/>
    <w:rsid w:val="0004067F"/>
    <w:rsid w:val="000525B1"/>
    <w:rsid w:val="00065834"/>
    <w:rsid w:val="0006608B"/>
    <w:rsid w:val="0007097A"/>
    <w:rsid w:val="00073613"/>
    <w:rsid w:val="00073D55"/>
    <w:rsid w:val="00077430"/>
    <w:rsid w:val="000A0001"/>
    <w:rsid w:val="000B2741"/>
    <w:rsid w:val="000C10F8"/>
    <w:rsid w:val="000C6D28"/>
    <w:rsid w:val="000C77E9"/>
    <w:rsid w:val="000D16EF"/>
    <w:rsid w:val="000D32DF"/>
    <w:rsid w:val="000D74AC"/>
    <w:rsid w:val="000E6175"/>
    <w:rsid w:val="000E6DE9"/>
    <w:rsid w:val="000F463B"/>
    <w:rsid w:val="000F5782"/>
    <w:rsid w:val="0010412E"/>
    <w:rsid w:val="00110F46"/>
    <w:rsid w:val="00111D4B"/>
    <w:rsid w:val="00131840"/>
    <w:rsid w:val="00146E07"/>
    <w:rsid w:val="00147BEF"/>
    <w:rsid w:val="00170E62"/>
    <w:rsid w:val="00193369"/>
    <w:rsid w:val="001937A0"/>
    <w:rsid w:val="001A10B1"/>
    <w:rsid w:val="001A7106"/>
    <w:rsid w:val="001B360D"/>
    <w:rsid w:val="001B3B75"/>
    <w:rsid w:val="001B5BD4"/>
    <w:rsid w:val="001B6319"/>
    <w:rsid w:val="001D4F8C"/>
    <w:rsid w:val="001E1C24"/>
    <w:rsid w:val="002172D4"/>
    <w:rsid w:val="0021799B"/>
    <w:rsid w:val="00227D9A"/>
    <w:rsid w:val="00243617"/>
    <w:rsid w:val="00272182"/>
    <w:rsid w:val="00276E7B"/>
    <w:rsid w:val="00283F45"/>
    <w:rsid w:val="00285498"/>
    <w:rsid w:val="00285FE7"/>
    <w:rsid w:val="00297501"/>
    <w:rsid w:val="002A2413"/>
    <w:rsid w:val="002A7D64"/>
    <w:rsid w:val="002B030F"/>
    <w:rsid w:val="002B2E40"/>
    <w:rsid w:val="002C5DA3"/>
    <w:rsid w:val="002C7B0F"/>
    <w:rsid w:val="002E63EC"/>
    <w:rsid w:val="00303A9C"/>
    <w:rsid w:val="00307055"/>
    <w:rsid w:val="003102BD"/>
    <w:rsid w:val="00323276"/>
    <w:rsid w:val="003413BC"/>
    <w:rsid w:val="00346ACB"/>
    <w:rsid w:val="0036650E"/>
    <w:rsid w:val="00373792"/>
    <w:rsid w:val="003749B0"/>
    <w:rsid w:val="00375E5D"/>
    <w:rsid w:val="003869C6"/>
    <w:rsid w:val="003A768A"/>
    <w:rsid w:val="003B28E2"/>
    <w:rsid w:val="003B6F62"/>
    <w:rsid w:val="003C62E4"/>
    <w:rsid w:val="003E5315"/>
    <w:rsid w:val="003E5B19"/>
    <w:rsid w:val="004156B5"/>
    <w:rsid w:val="0042686A"/>
    <w:rsid w:val="0043370C"/>
    <w:rsid w:val="00436E56"/>
    <w:rsid w:val="0044094C"/>
    <w:rsid w:val="00446425"/>
    <w:rsid w:val="004576F2"/>
    <w:rsid w:val="0047393B"/>
    <w:rsid w:val="00475493"/>
    <w:rsid w:val="004758D5"/>
    <w:rsid w:val="00486EC0"/>
    <w:rsid w:val="004965E2"/>
    <w:rsid w:val="004B7BC3"/>
    <w:rsid w:val="004E0466"/>
    <w:rsid w:val="004E04D5"/>
    <w:rsid w:val="004F00FA"/>
    <w:rsid w:val="0050784F"/>
    <w:rsid w:val="005107C5"/>
    <w:rsid w:val="00521C2A"/>
    <w:rsid w:val="00522B1D"/>
    <w:rsid w:val="0052778C"/>
    <w:rsid w:val="00532488"/>
    <w:rsid w:val="00532BA2"/>
    <w:rsid w:val="0053454E"/>
    <w:rsid w:val="00536E74"/>
    <w:rsid w:val="005444ED"/>
    <w:rsid w:val="0055395C"/>
    <w:rsid w:val="0057279E"/>
    <w:rsid w:val="00577280"/>
    <w:rsid w:val="0058282F"/>
    <w:rsid w:val="00590066"/>
    <w:rsid w:val="0059088B"/>
    <w:rsid w:val="005B736C"/>
    <w:rsid w:val="005D0245"/>
    <w:rsid w:val="005D67AA"/>
    <w:rsid w:val="005F317E"/>
    <w:rsid w:val="005F69BF"/>
    <w:rsid w:val="006035BB"/>
    <w:rsid w:val="00611FAB"/>
    <w:rsid w:val="00613C70"/>
    <w:rsid w:val="006239A5"/>
    <w:rsid w:val="00627916"/>
    <w:rsid w:val="00630C23"/>
    <w:rsid w:val="00634382"/>
    <w:rsid w:val="006377E0"/>
    <w:rsid w:val="00644DEF"/>
    <w:rsid w:val="0065182F"/>
    <w:rsid w:val="00662E83"/>
    <w:rsid w:val="0066660F"/>
    <w:rsid w:val="00672286"/>
    <w:rsid w:val="0068669B"/>
    <w:rsid w:val="00690649"/>
    <w:rsid w:val="006C3013"/>
    <w:rsid w:val="006C5508"/>
    <w:rsid w:val="006E283C"/>
    <w:rsid w:val="007112D1"/>
    <w:rsid w:val="00712046"/>
    <w:rsid w:val="0071686D"/>
    <w:rsid w:val="00724AAE"/>
    <w:rsid w:val="00732EF8"/>
    <w:rsid w:val="00744B5B"/>
    <w:rsid w:val="00745F7A"/>
    <w:rsid w:val="00747DC4"/>
    <w:rsid w:val="00760DED"/>
    <w:rsid w:val="00765B3F"/>
    <w:rsid w:val="007754D2"/>
    <w:rsid w:val="007808F7"/>
    <w:rsid w:val="0079050D"/>
    <w:rsid w:val="00793B30"/>
    <w:rsid w:val="007B73CA"/>
    <w:rsid w:val="007C0869"/>
    <w:rsid w:val="007D1D3F"/>
    <w:rsid w:val="007D4313"/>
    <w:rsid w:val="00811C20"/>
    <w:rsid w:val="00823E78"/>
    <w:rsid w:val="008379C6"/>
    <w:rsid w:val="008516CD"/>
    <w:rsid w:val="00865A61"/>
    <w:rsid w:val="00867799"/>
    <w:rsid w:val="00877387"/>
    <w:rsid w:val="00882498"/>
    <w:rsid w:val="008870A8"/>
    <w:rsid w:val="008A35D7"/>
    <w:rsid w:val="008B7D76"/>
    <w:rsid w:val="008C2AD6"/>
    <w:rsid w:val="008F2474"/>
    <w:rsid w:val="008F39CF"/>
    <w:rsid w:val="008F4823"/>
    <w:rsid w:val="00911529"/>
    <w:rsid w:val="0092226B"/>
    <w:rsid w:val="00925BD5"/>
    <w:rsid w:val="009268F9"/>
    <w:rsid w:val="00932FA1"/>
    <w:rsid w:val="0095013B"/>
    <w:rsid w:val="00954CD5"/>
    <w:rsid w:val="0096228C"/>
    <w:rsid w:val="00976E76"/>
    <w:rsid w:val="009771D9"/>
    <w:rsid w:val="00977FA7"/>
    <w:rsid w:val="0098351F"/>
    <w:rsid w:val="00986D29"/>
    <w:rsid w:val="00990CD4"/>
    <w:rsid w:val="009912D6"/>
    <w:rsid w:val="00991802"/>
    <w:rsid w:val="00992CC5"/>
    <w:rsid w:val="009A192C"/>
    <w:rsid w:val="009A203B"/>
    <w:rsid w:val="009C546C"/>
    <w:rsid w:val="009D0F98"/>
    <w:rsid w:val="009D7C75"/>
    <w:rsid w:val="00A0198F"/>
    <w:rsid w:val="00A11729"/>
    <w:rsid w:val="00A16C24"/>
    <w:rsid w:val="00A33919"/>
    <w:rsid w:val="00A4074E"/>
    <w:rsid w:val="00A41EE5"/>
    <w:rsid w:val="00A52CF4"/>
    <w:rsid w:val="00A53B5F"/>
    <w:rsid w:val="00A5517D"/>
    <w:rsid w:val="00A7141C"/>
    <w:rsid w:val="00A83DA1"/>
    <w:rsid w:val="00AB1BC9"/>
    <w:rsid w:val="00AB38C7"/>
    <w:rsid w:val="00AB67C3"/>
    <w:rsid w:val="00AD1673"/>
    <w:rsid w:val="00AD2734"/>
    <w:rsid w:val="00AE037A"/>
    <w:rsid w:val="00AE0585"/>
    <w:rsid w:val="00AE3C4E"/>
    <w:rsid w:val="00B05ADD"/>
    <w:rsid w:val="00B06243"/>
    <w:rsid w:val="00B12347"/>
    <w:rsid w:val="00B306C4"/>
    <w:rsid w:val="00B54663"/>
    <w:rsid w:val="00B61EBB"/>
    <w:rsid w:val="00B64A53"/>
    <w:rsid w:val="00B82D02"/>
    <w:rsid w:val="00B95483"/>
    <w:rsid w:val="00B96DC9"/>
    <w:rsid w:val="00BB1923"/>
    <w:rsid w:val="00BB466E"/>
    <w:rsid w:val="00BC210C"/>
    <w:rsid w:val="00BC5BC1"/>
    <w:rsid w:val="00BC7C3E"/>
    <w:rsid w:val="00BD40C9"/>
    <w:rsid w:val="00BF7990"/>
    <w:rsid w:val="00C05B97"/>
    <w:rsid w:val="00C071D0"/>
    <w:rsid w:val="00C07FF7"/>
    <w:rsid w:val="00C43B9F"/>
    <w:rsid w:val="00C87E40"/>
    <w:rsid w:val="00CA017E"/>
    <w:rsid w:val="00CA737A"/>
    <w:rsid w:val="00CD0D9A"/>
    <w:rsid w:val="00CD1D79"/>
    <w:rsid w:val="00CD24F7"/>
    <w:rsid w:val="00CF0287"/>
    <w:rsid w:val="00D03B80"/>
    <w:rsid w:val="00D14992"/>
    <w:rsid w:val="00D16A80"/>
    <w:rsid w:val="00D261CE"/>
    <w:rsid w:val="00D2628C"/>
    <w:rsid w:val="00D34764"/>
    <w:rsid w:val="00D44F6F"/>
    <w:rsid w:val="00D47B2C"/>
    <w:rsid w:val="00D47B87"/>
    <w:rsid w:val="00D562E0"/>
    <w:rsid w:val="00D7542D"/>
    <w:rsid w:val="00D75A42"/>
    <w:rsid w:val="00D82083"/>
    <w:rsid w:val="00D83807"/>
    <w:rsid w:val="00D86759"/>
    <w:rsid w:val="00D869AD"/>
    <w:rsid w:val="00D9338E"/>
    <w:rsid w:val="00DC2456"/>
    <w:rsid w:val="00DC3649"/>
    <w:rsid w:val="00DC3CE1"/>
    <w:rsid w:val="00DC5697"/>
    <w:rsid w:val="00DD424E"/>
    <w:rsid w:val="00DE7D51"/>
    <w:rsid w:val="00DF47EB"/>
    <w:rsid w:val="00DF4A85"/>
    <w:rsid w:val="00E01F1B"/>
    <w:rsid w:val="00E30926"/>
    <w:rsid w:val="00E32102"/>
    <w:rsid w:val="00E335AF"/>
    <w:rsid w:val="00E51660"/>
    <w:rsid w:val="00E56836"/>
    <w:rsid w:val="00E715C8"/>
    <w:rsid w:val="00E80CEB"/>
    <w:rsid w:val="00E82093"/>
    <w:rsid w:val="00E843AA"/>
    <w:rsid w:val="00E940ED"/>
    <w:rsid w:val="00EA43B2"/>
    <w:rsid w:val="00EA7665"/>
    <w:rsid w:val="00EB7708"/>
    <w:rsid w:val="00ED0C8F"/>
    <w:rsid w:val="00EE0C70"/>
    <w:rsid w:val="00EF361D"/>
    <w:rsid w:val="00EF556C"/>
    <w:rsid w:val="00F06042"/>
    <w:rsid w:val="00F0651D"/>
    <w:rsid w:val="00F06580"/>
    <w:rsid w:val="00F416CA"/>
    <w:rsid w:val="00F51792"/>
    <w:rsid w:val="00F52541"/>
    <w:rsid w:val="00F570BC"/>
    <w:rsid w:val="00F82521"/>
    <w:rsid w:val="00F86539"/>
    <w:rsid w:val="00F955A7"/>
    <w:rsid w:val="00F97BA7"/>
    <w:rsid w:val="00FA5864"/>
    <w:rsid w:val="00FC0AC7"/>
    <w:rsid w:val="00FD2990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A7F079"/>
  <w14:defaultImageDpi w14:val="0"/>
  <w15:docId w15:val="{B5F98CF7-9EB9-45E4-879A-1F880116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2474"/>
    <w:pPr>
      <w:spacing w:after="200" w:line="276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2474"/>
    <w:pPr>
      <w:spacing w:after="0"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4DE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4D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644DEF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4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44DEF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44DE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92CC5"/>
    <w:rPr>
      <w:rFonts w:cs="Times New Roman"/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2CC5"/>
    <w:rPr>
      <w:rFonts w:cs="Times New Roman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86D29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86D29"/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865A61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65A61"/>
    <w:rPr>
      <w:rFonts w:cs="Times New Roman"/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4992"/>
    <w:rPr>
      <w:rFonts w:cs="Times New Roman"/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279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5B736C"/>
    <w:pPr>
      <w:spacing w:after="0" w:line="240" w:lineRule="auto"/>
    </w:pPr>
    <w:rPr>
      <w:rFonts w:ascii="Calibri" w:hAnsi="Calibri" w:cs="Calibri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9064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D0F9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xing.com/companies/tde-transdataelektronikgmbh/updat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tdeConnect" TargetMode="External"/><Relationship Id="rId17" Type="http://schemas.openxmlformats.org/officeDocument/2006/relationships/hyperlink" Target="http://www.epr-onlin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s@epr-onlin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tde-trans-data-elektronik-gmbh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de.de/" TargetMode="External"/><Relationship Id="rId10" Type="http://schemas.openxmlformats.org/officeDocument/2006/relationships/hyperlink" Target="http://www.tde.d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t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12" ma:contentTypeDescription="Ein neues Dokument erstellen." ma:contentTypeScope="" ma:versionID="37dfb358ce2b7329c38c1838146fa26a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efbf6646494b3aacd1ffcbb92a09767f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75378-6D4E-4BB2-BC4E-59B1044A7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36820-65BF-4AF6-8CD0-9C058377E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A6F5C-26A4-4ABD-9FDC-6CF5DB712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61c9187e-b015-4e8a-9477-780509d1e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Schütz | epr - elsaesser public relations</dc:creator>
  <cp:lastModifiedBy>Frauke Schütz | epr - elsaesser public relations</cp:lastModifiedBy>
  <cp:revision>2</cp:revision>
  <dcterms:created xsi:type="dcterms:W3CDTF">2021-09-15T11:35:00Z</dcterms:created>
  <dcterms:modified xsi:type="dcterms:W3CDTF">2021-09-15T11:35:00Z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0x010100A8CB5802A259FD48BF3EBA8B6A091433</vt:lpwstr>
  </property>
</Properties>
</file>