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3ED" w14:textId="77777777" w:rsidR="00986D29" w:rsidRDefault="00986D29" w:rsidP="00986D29">
      <w:pPr>
        <w:spacing w:line="360" w:lineRule="auto"/>
        <w:jc w:val="right"/>
        <w:rPr>
          <w:b/>
          <w:bCs/>
          <w:u w:val="single"/>
        </w:rPr>
      </w:pP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</w:p>
    <w:p w14:paraId="160EF77E" w14:textId="70B67E9B" w:rsidR="00030B21" w:rsidRDefault="00577280" w:rsidP="00030B21">
      <w:pPr>
        <w:widowControl w:val="0"/>
        <w:autoSpaceDE w:val="0"/>
        <w:autoSpaceDN w:val="0"/>
        <w:adjustRightInd w:val="0"/>
        <w:ind w:right="-6"/>
        <w:rPr>
          <w:rFonts w:ascii="Calibri-Bold" w:hAnsi="Calibri-Bold" w:cs="Calibri-Bold"/>
          <w:b/>
          <w:bCs/>
          <w:u w:val="single"/>
        </w:rPr>
      </w:pPr>
      <w:proofErr w:type="spellStart"/>
      <w:r w:rsidRPr="00577280">
        <w:rPr>
          <w:rFonts w:ascii="Calibri-Bold" w:hAnsi="Calibri-Bold" w:cs="Calibri-Bold"/>
          <w:b/>
          <w:bCs/>
          <w:u w:val="single"/>
        </w:rPr>
        <w:t>LANline</w:t>
      </w:r>
      <w:proofErr w:type="spellEnd"/>
      <w:r w:rsidRPr="00577280">
        <w:rPr>
          <w:rFonts w:ascii="Calibri-Bold" w:hAnsi="Calibri-Bold" w:cs="Calibri-Bold"/>
          <w:b/>
          <w:bCs/>
          <w:u w:val="single"/>
        </w:rPr>
        <w:t xml:space="preserve"> Datacenter Symposium</w:t>
      </w:r>
      <w:r w:rsidR="00760DED">
        <w:rPr>
          <w:rFonts w:ascii="Calibri-Bold" w:hAnsi="Calibri-Bold" w:cs="Calibri-Bold"/>
          <w:b/>
          <w:bCs/>
          <w:u w:val="single"/>
        </w:rPr>
        <w:t xml:space="preserve"> am 23.9.2021 in München</w:t>
      </w:r>
      <w:r w:rsidRPr="00577280">
        <w:rPr>
          <w:rFonts w:ascii="Calibri-Bold" w:hAnsi="Calibri-Bold" w:cs="Calibri-Bold"/>
          <w:b/>
          <w:bCs/>
          <w:u w:val="single"/>
        </w:rPr>
        <w:t xml:space="preserve">: Technologieführer und Netzwerkspezialist </w:t>
      </w:r>
      <w:proofErr w:type="spellStart"/>
      <w:r w:rsidRPr="00577280">
        <w:rPr>
          <w:rFonts w:ascii="Calibri-Bold" w:hAnsi="Calibri-Bold" w:cs="Calibri-Bold"/>
          <w:b/>
          <w:bCs/>
          <w:u w:val="single"/>
        </w:rPr>
        <w:t>tde</w:t>
      </w:r>
      <w:proofErr w:type="spellEnd"/>
      <w:r w:rsidRPr="00577280">
        <w:rPr>
          <w:rFonts w:ascii="Calibri-Bold" w:hAnsi="Calibri-Bold" w:cs="Calibri-Bold"/>
          <w:b/>
          <w:bCs/>
          <w:u w:val="single"/>
        </w:rPr>
        <w:t xml:space="preserve"> ist Silber-Sponsor</w:t>
      </w:r>
    </w:p>
    <w:p w14:paraId="507B914D" w14:textId="1BBD73AC" w:rsidR="00760DED" w:rsidRPr="00FE2E70" w:rsidRDefault="00760DED" w:rsidP="00030B21">
      <w:pPr>
        <w:widowControl w:val="0"/>
        <w:autoSpaceDE w:val="0"/>
        <w:autoSpaceDN w:val="0"/>
        <w:adjustRightInd w:val="0"/>
        <w:ind w:right="-6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Maximale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tML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-Packungseffizienz: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tde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zeigt das Rechenzentrum von morgen</w:t>
      </w:r>
    </w:p>
    <w:p w14:paraId="3454089C" w14:textId="0051534B" w:rsidR="00030B21" w:rsidRDefault="00030B21" w:rsidP="00030B21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Arial" w:hAnsi="Arial" w:cs="Arial"/>
          <w:sz w:val="35"/>
          <w:szCs w:val="35"/>
        </w:rPr>
      </w:pPr>
      <w:r>
        <w:rPr>
          <w:rFonts w:ascii="Calibri-Bold" w:hAnsi="Calibri-Bold" w:cs="Calibri-Bold"/>
          <w:b/>
          <w:bCs/>
        </w:rPr>
        <w:t xml:space="preserve">Dortmund, </w:t>
      </w:r>
      <w:r w:rsidR="00FF56BD">
        <w:rPr>
          <w:rFonts w:ascii="Calibri-Bold" w:hAnsi="Calibri-Bold" w:cs="Calibri-Bold"/>
          <w:b/>
          <w:bCs/>
        </w:rPr>
        <w:t>31</w:t>
      </w:r>
      <w:r>
        <w:rPr>
          <w:rFonts w:ascii="Calibri-Bold" w:hAnsi="Calibri-Bold" w:cs="Calibri-Bold"/>
          <w:b/>
          <w:bCs/>
        </w:rPr>
        <w:t xml:space="preserve">. August 2021. </w:t>
      </w:r>
      <w:r w:rsidR="00577280" w:rsidRPr="00577280">
        <w:rPr>
          <w:rFonts w:ascii="Calibri-Bold" w:hAnsi="Calibri-Bold" w:cs="Calibri-Bold"/>
          <w:b/>
          <w:bCs/>
        </w:rPr>
        <w:t xml:space="preserve">Das diesjährige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LANline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 Datacenter Symposium (DCS) findet am 23. September in München statt und vermittelt Rechenzentrum</w:t>
      </w:r>
      <w:r w:rsidR="00B64A53">
        <w:rPr>
          <w:rFonts w:ascii="Calibri-Bold" w:hAnsi="Calibri-Bold" w:cs="Calibri-Bold"/>
          <w:b/>
          <w:bCs/>
        </w:rPr>
        <w:t>s</w:t>
      </w:r>
      <w:r w:rsidR="00577280" w:rsidRPr="00577280">
        <w:rPr>
          <w:rFonts w:ascii="Calibri-Bold" w:hAnsi="Calibri-Bold" w:cs="Calibri-Bold"/>
          <w:b/>
          <w:bCs/>
        </w:rPr>
        <w:t xml:space="preserve">-Experten und -Betreibern unabhängiges, aktuelles Branchen-Know-how. </w:t>
      </w:r>
      <w:r w:rsidR="00760DED">
        <w:rPr>
          <w:rFonts w:ascii="Calibri-Bold" w:hAnsi="Calibri-Bold" w:cs="Calibri-Bold"/>
          <w:b/>
          <w:bCs/>
        </w:rPr>
        <w:t>Mit dabei ist der</w:t>
      </w:r>
      <w:r w:rsidR="00F570BC">
        <w:rPr>
          <w:rFonts w:ascii="Calibri-Bold" w:hAnsi="Calibri-Bold" w:cs="Calibri-Bold"/>
          <w:b/>
          <w:bCs/>
        </w:rPr>
        <w:t xml:space="preserve"> </w:t>
      </w:r>
      <w:r w:rsidR="00760DED">
        <w:rPr>
          <w:rFonts w:ascii="Calibri-Bold" w:hAnsi="Calibri-Bold" w:cs="Calibri-Bold"/>
          <w:b/>
          <w:bCs/>
        </w:rPr>
        <w:t>Dortmunder Netzwerkhersteller</w:t>
      </w:r>
      <w:r w:rsidR="00760DED" w:rsidRPr="00577280">
        <w:rPr>
          <w:rFonts w:ascii="Calibri-Bold" w:hAnsi="Calibri-Bold" w:cs="Calibri-Bold"/>
          <w:b/>
          <w:bCs/>
        </w:rPr>
        <w:t xml:space="preserve">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tde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 -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trans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data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elektronik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 GmbH</w:t>
      </w:r>
      <w:r w:rsidR="00760DED">
        <w:rPr>
          <w:rFonts w:ascii="Calibri-Bold" w:hAnsi="Calibri-Bold" w:cs="Calibri-Bold"/>
          <w:b/>
          <w:bCs/>
        </w:rPr>
        <w:t>. A</w:t>
      </w:r>
      <w:r w:rsidR="00577280" w:rsidRPr="00577280">
        <w:rPr>
          <w:rFonts w:ascii="Calibri-Bold" w:hAnsi="Calibri-Bold" w:cs="Calibri-Bold"/>
          <w:b/>
          <w:bCs/>
        </w:rPr>
        <w:t>ls Silber-Sponsor präsentiert</w:t>
      </w:r>
      <w:r w:rsidR="00D562E0">
        <w:rPr>
          <w:rFonts w:ascii="Calibri-Bold" w:hAnsi="Calibri-Bold" w:cs="Calibri-Bold"/>
          <w:b/>
          <w:bCs/>
        </w:rPr>
        <w:t xml:space="preserve"> d</w:t>
      </w:r>
      <w:r w:rsidR="00577280" w:rsidRPr="00577280">
        <w:rPr>
          <w:rFonts w:ascii="Calibri-Bold" w:hAnsi="Calibri-Bold" w:cs="Calibri-Bold"/>
          <w:b/>
          <w:bCs/>
        </w:rPr>
        <w:t xml:space="preserve">er Technologieführer </w:t>
      </w:r>
      <w:r w:rsidR="00A16C24">
        <w:rPr>
          <w:rFonts w:ascii="Calibri-Bold" w:hAnsi="Calibri-Bold" w:cs="Calibri-Bold"/>
          <w:b/>
          <w:bCs/>
        </w:rPr>
        <w:t xml:space="preserve">für </w:t>
      </w:r>
      <w:r w:rsidR="008F4823">
        <w:rPr>
          <w:rFonts w:ascii="Calibri-Bold" w:hAnsi="Calibri-Bold" w:cs="Calibri-Bold"/>
          <w:b/>
          <w:bCs/>
        </w:rPr>
        <w:t xml:space="preserve">die MPO-Mehrfasertechnologie und Anbieter innovativer </w:t>
      </w:r>
      <w:r w:rsidR="00A16C24">
        <w:rPr>
          <w:rFonts w:ascii="Calibri-Bold" w:hAnsi="Calibri-Bold" w:cs="Calibri-Bold"/>
          <w:b/>
          <w:bCs/>
        </w:rPr>
        <w:t>modulare</w:t>
      </w:r>
      <w:r w:rsidR="008F4823">
        <w:rPr>
          <w:rFonts w:ascii="Calibri-Bold" w:hAnsi="Calibri-Bold" w:cs="Calibri-Bold"/>
          <w:b/>
          <w:bCs/>
        </w:rPr>
        <w:t>r</w:t>
      </w:r>
      <w:r w:rsidR="00577280" w:rsidRPr="00577280">
        <w:rPr>
          <w:rFonts w:ascii="Calibri-Bold" w:hAnsi="Calibri-Bold" w:cs="Calibri-Bold"/>
          <w:b/>
          <w:bCs/>
        </w:rPr>
        <w:t xml:space="preserve"> </w:t>
      </w:r>
      <w:r w:rsidR="00577280" w:rsidRPr="003E5315">
        <w:rPr>
          <w:rFonts w:ascii="Calibri-Bold" w:hAnsi="Calibri-Bold" w:cs="Calibri-Bold"/>
          <w:b/>
          <w:bCs/>
        </w:rPr>
        <w:t>Verkabelungssysteme</w:t>
      </w:r>
      <w:r w:rsidR="00577280" w:rsidRPr="00577280">
        <w:rPr>
          <w:rFonts w:ascii="Calibri-Bold" w:hAnsi="Calibri-Bold" w:cs="Calibri-Bold"/>
          <w:b/>
          <w:bCs/>
        </w:rPr>
        <w:t xml:space="preserve"> </w:t>
      </w:r>
      <w:r w:rsidR="00760DED">
        <w:rPr>
          <w:rFonts w:ascii="Calibri-Bold" w:hAnsi="Calibri-Bold" w:cs="Calibri-Bold"/>
          <w:b/>
          <w:bCs/>
        </w:rPr>
        <w:t>fundiertes</w:t>
      </w:r>
      <w:r w:rsidR="00760DED" w:rsidRPr="00577280">
        <w:rPr>
          <w:rFonts w:ascii="Calibri-Bold" w:hAnsi="Calibri-Bold" w:cs="Calibri-Bold"/>
          <w:b/>
          <w:bCs/>
        </w:rPr>
        <w:t xml:space="preserve"> Branchenwissen </w:t>
      </w:r>
      <w:r w:rsidR="00760DED">
        <w:rPr>
          <w:rFonts w:ascii="Calibri-Bold" w:hAnsi="Calibri-Bold" w:cs="Calibri-Bold"/>
          <w:b/>
          <w:bCs/>
        </w:rPr>
        <w:t xml:space="preserve">und </w:t>
      </w:r>
      <w:r w:rsidR="00577280" w:rsidRPr="00577280">
        <w:rPr>
          <w:rFonts w:ascii="Calibri-Bold" w:hAnsi="Calibri-Bold" w:cs="Calibri-Bold"/>
          <w:b/>
          <w:bCs/>
        </w:rPr>
        <w:t xml:space="preserve">nutzt diese Plattform für die Kommunikation seiner erfolgreichen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tML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-Standard-, tML24- und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tML</w:t>
      </w:r>
      <w:proofErr w:type="spellEnd"/>
      <w:r w:rsidR="00577280" w:rsidRPr="00577280">
        <w:rPr>
          <w:rFonts w:ascii="Calibri-Bold" w:hAnsi="Calibri-Bold" w:cs="Calibri-Bold"/>
          <w:b/>
          <w:bCs/>
        </w:rPr>
        <w:t>-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Xtended</w:t>
      </w:r>
      <w:proofErr w:type="spellEnd"/>
      <w:r w:rsidR="00577280" w:rsidRPr="00577280">
        <w:rPr>
          <w:rFonts w:ascii="Calibri-Bold" w:hAnsi="Calibri-Bold" w:cs="Calibri-Bold"/>
          <w:b/>
          <w:bCs/>
        </w:rPr>
        <w:t>-</w:t>
      </w:r>
      <w:r w:rsidR="003E5315">
        <w:rPr>
          <w:rFonts w:ascii="Calibri-Bold" w:hAnsi="Calibri-Bold" w:cs="Calibri-Bold"/>
          <w:b/>
          <w:bCs/>
        </w:rPr>
        <w:t>Systemplattformen</w:t>
      </w:r>
      <w:r w:rsidR="00577280" w:rsidRPr="00577280">
        <w:rPr>
          <w:rFonts w:ascii="Calibri-Bold" w:hAnsi="Calibri-Bold" w:cs="Calibri-Bold"/>
          <w:b/>
          <w:bCs/>
        </w:rPr>
        <w:t>, die</w:t>
      </w:r>
      <w:r w:rsidR="00375E5D">
        <w:rPr>
          <w:rFonts w:ascii="Calibri-Bold" w:hAnsi="Calibri-Bold" w:cs="Calibri-Bold"/>
          <w:b/>
          <w:bCs/>
        </w:rPr>
        <w:t xml:space="preserve"> bereits </w:t>
      </w:r>
      <w:r w:rsidR="003B6F62">
        <w:rPr>
          <w:rFonts w:ascii="Calibri-Bold" w:hAnsi="Calibri-Bold" w:cs="Calibri-Bold"/>
          <w:b/>
          <w:bCs/>
        </w:rPr>
        <w:t>seit dem letzten Jahr</w:t>
      </w:r>
      <w:r w:rsidR="00577280" w:rsidRPr="00577280">
        <w:rPr>
          <w:rFonts w:ascii="Calibri-Bold" w:hAnsi="Calibri-Bold" w:cs="Calibri-Bold"/>
          <w:b/>
          <w:bCs/>
        </w:rPr>
        <w:t xml:space="preserve"> auch mit LWL-MDC-Modulen verfügbar sind. Durch die Integration des kompakten MDC-Steckverbinders in die Systemplattform</w:t>
      </w:r>
      <w:r w:rsidR="00111D4B">
        <w:rPr>
          <w:rFonts w:ascii="Calibri-Bold" w:hAnsi="Calibri-Bold" w:cs="Calibri-Bold"/>
          <w:b/>
          <w:bCs/>
        </w:rPr>
        <w:t xml:space="preserve">, die die </w:t>
      </w:r>
      <w:proofErr w:type="spellStart"/>
      <w:r w:rsidR="00111D4B">
        <w:rPr>
          <w:rFonts w:ascii="Calibri-Bold" w:hAnsi="Calibri-Bold" w:cs="Calibri-Bold"/>
          <w:b/>
          <w:bCs/>
        </w:rPr>
        <w:t>tde</w:t>
      </w:r>
      <w:proofErr w:type="spellEnd"/>
      <w:r w:rsidR="00111D4B">
        <w:rPr>
          <w:rFonts w:ascii="Calibri-Bold" w:hAnsi="Calibri-Bold" w:cs="Calibri-Bold"/>
          <w:b/>
          <w:bCs/>
        </w:rPr>
        <w:t xml:space="preserve"> als branchenweit erster Hersteller realisiert hat,</w:t>
      </w:r>
      <w:r w:rsidR="00577280" w:rsidRPr="00577280">
        <w:rPr>
          <w:rFonts w:ascii="Calibri-Bold" w:hAnsi="Calibri-Bold" w:cs="Calibri-Bold"/>
          <w:b/>
          <w:bCs/>
        </w:rPr>
        <w:t xml:space="preserve"> </w:t>
      </w:r>
      <w:r w:rsidR="00532488">
        <w:rPr>
          <w:rFonts w:ascii="Calibri-Bold" w:hAnsi="Calibri-Bold" w:cs="Calibri-Bold"/>
          <w:b/>
          <w:bCs/>
        </w:rPr>
        <w:t>verdoppelt</w:t>
      </w:r>
      <w:r w:rsidR="00577280" w:rsidRPr="00577280">
        <w:rPr>
          <w:rFonts w:ascii="Calibri-Bold" w:hAnsi="Calibri-Bold" w:cs="Calibri-Bold"/>
          <w:b/>
          <w:bCs/>
        </w:rPr>
        <w:t xml:space="preserve"> sich die Packungsdichte im </w:t>
      </w:r>
      <w:proofErr w:type="spellStart"/>
      <w:r w:rsidR="00577280" w:rsidRPr="00577280">
        <w:rPr>
          <w:rFonts w:ascii="Calibri-Bold" w:hAnsi="Calibri-Bold" w:cs="Calibri-Bold"/>
          <w:b/>
          <w:bCs/>
        </w:rPr>
        <w:t>Patchbereich</w:t>
      </w:r>
      <w:proofErr w:type="spellEnd"/>
      <w:r w:rsidR="00577280" w:rsidRPr="00577280">
        <w:rPr>
          <w:rFonts w:ascii="Calibri-Bold" w:hAnsi="Calibri-Bold" w:cs="Calibri-Bold"/>
          <w:b/>
          <w:bCs/>
        </w:rPr>
        <w:t xml:space="preserve"> gegenüber LC-Duplex-Steckverbindern. </w:t>
      </w:r>
      <w:r w:rsidR="00EF556C">
        <w:rPr>
          <w:rFonts w:ascii="Calibri-Bold" w:hAnsi="Calibri-Bold" w:cs="Calibri-Bold"/>
          <w:b/>
          <w:bCs/>
        </w:rPr>
        <w:t xml:space="preserve">Außerdem stellt die </w:t>
      </w:r>
      <w:proofErr w:type="spellStart"/>
      <w:r w:rsidR="00EF556C">
        <w:rPr>
          <w:rFonts w:ascii="Calibri-Bold" w:hAnsi="Calibri-Bold" w:cs="Calibri-Bold"/>
          <w:b/>
          <w:bCs/>
        </w:rPr>
        <w:t>tde</w:t>
      </w:r>
      <w:proofErr w:type="spellEnd"/>
      <w:r w:rsidR="00EF556C">
        <w:rPr>
          <w:rFonts w:ascii="Calibri-Bold" w:hAnsi="Calibri-Bold" w:cs="Calibri-Bold"/>
          <w:b/>
          <w:bCs/>
        </w:rPr>
        <w:t xml:space="preserve"> den überarbeiteten</w:t>
      </w:r>
      <w:r w:rsidR="00532488">
        <w:rPr>
          <w:rFonts w:ascii="Calibri-Bold" w:hAnsi="Calibri-Bold" w:cs="Calibri-Bold"/>
          <w:b/>
          <w:bCs/>
        </w:rPr>
        <w:t xml:space="preserve"> </w:t>
      </w:r>
      <w:r w:rsidR="00375E5D">
        <w:rPr>
          <w:rFonts w:ascii="Calibri-Bold" w:hAnsi="Calibri-Bold" w:cs="Calibri-Bold"/>
          <w:b/>
          <w:bCs/>
        </w:rPr>
        <w:t xml:space="preserve">19-Zoll </w:t>
      </w:r>
      <w:proofErr w:type="spellStart"/>
      <w:r w:rsidR="00532488">
        <w:rPr>
          <w:rFonts w:ascii="Calibri-Bold" w:hAnsi="Calibri-Bold" w:cs="Calibri-Bold"/>
          <w:b/>
          <w:bCs/>
        </w:rPr>
        <w:t>tML</w:t>
      </w:r>
      <w:proofErr w:type="spellEnd"/>
      <w:r w:rsidR="00375E5D">
        <w:rPr>
          <w:rFonts w:ascii="Calibri-Bold" w:hAnsi="Calibri-Bold" w:cs="Calibri-Bold"/>
          <w:b/>
          <w:bCs/>
        </w:rPr>
        <w:t>-</w:t>
      </w:r>
      <w:r w:rsidR="00532488">
        <w:rPr>
          <w:rFonts w:ascii="Calibri-Bold" w:hAnsi="Calibri-Bold" w:cs="Calibri-Bold"/>
          <w:b/>
          <w:bCs/>
        </w:rPr>
        <w:t>Modulträger für den Festeinbau</w:t>
      </w:r>
      <w:r w:rsidR="00EF556C">
        <w:rPr>
          <w:rFonts w:ascii="Calibri-Bold" w:hAnsi="Calibri-Bold" w:cs="Calibri-Bold"/>
          <w:b/>
          <w:bCs/>
        </w:rPr>
        <w:t xml:space="preserve"> vor, der neben einer verbesserten Funktionalität auch ein moderneres Design zeigt.</w:t>
      </w:r>
    </w:p>
    <w:p w14:paraId="200D7CEF" w14:textId="77777777" w:rsidR="00B64A53" w:rsidRDefault="00577280" w:rsidP="00577280">
      <w:pPr>
        <w:spacing w:line="360" w:lineRule="auto"/>
      </w:pPr>
      <w:r w:rsidRPr="00564AEA">
        <w:t xml:space="preserve">Im Fokus des bevorstehenden </w:t>
      </w:r>
      <w:proofErr w:type="spellStart"/>
      <w:r w:rsidRPr="00564AEA">
        <w:t>LANline</w:t>
      </w:r>
      <w:proofErr w:type="spellEnd"/>
      <w:r w:rsidRPr="00564AEA">
        <w:t xml:space="preserve"> Datacenter Symposiums steht der </w:t>
      </w:r>
      <w:r>
        <w:t>m</w:t>
      </w:r>
      <w:r w:rsidRPr="00564AEA">
        <w:t xml:space="preserve">oderne Datacenter-Betrieb. </w:t>
      </w:r>
      <w:r>
        <w:t>Themenschwerpunkte</w:t>
      </w:r>
      <w:r w:rsidRPr="00564AEA">
        <w:t xml:space="preserve"> der Vorträge, Workshops und Diskussionsrunden</w:t>
      </w:r>
      <w:r>
        <w:t xml:space="preserve"> </w:t>
      </w:r>
      <w:r w:rsidR="008870A8">
        <w:t>sind die</w:t>
      </w:r>
      <w:r w:rsidRPr="00564AEA">
        <w:t xml:space="preserve"> Optimierung des Ressourcenverbrauchs, Entwicklungen bei Cooling und Klimatisierung, </w:t>
      </w:r>
      <w:r>
        <w:t>t</w:t>
      </w:r>
      <w:r w:rsidRPr="00564AEA">
        <w:t>echnisch</w:t>
      </w:r>
      <w:r>
        <w:t>e</w:t>
      </w:r>
      <w:r w:rsidR="008870A8">
        <w:t>r</w:t>
      </w:r>
      <w:r w:rsidRPr="00564AEA">
        <w:t xml:space="preserve"> Fortschritt bei USVs </w:t>
      </w:r>
      <w:r>
        <w:t xml:space="preserve">sowie </w:t>
      </w:r>
      <w:r w:rsidRPr="00564AEA">
        <w:t xml:space="preserve">PDUs, </w:t>
      </w:r>
      <w:r w:rsidRPr="003C44FB">
        <w:t xml:space="preserve">EN 50600 in der Praxis </w:t>
      </w:r>
      <w:r w:rsidRPr="00564AEA">
        <w:t>sowie</w:t>
      </w:r>
      <w:r w:rsidRPr="003C44FB">
        <w:t xml:space="preserve"> internationale Normen</w:t>
      </w:r>
      <w:r w:rsidRPr="00564AEA">
        <w:t xml:space="preserve">, ganzheitliche Ansätze im </w:t>
      </w:r>
      <w:r w:rsidRPr="003C44FB">
        <w:t>Datacenter-Management</w:t>
      </w:r>
      <w:r w:rsidRPr="00564AEA">
        <w:t xml:space="preserve">, Wärmerückgewinnung und Umgang mit neuen </w:t>
      </w:r>
      <w:r>
        <w:t>M</w:t>
      </w:r>
      <w:r w:rsidRPr="00564AEA">
        <w:t>ethoden der Stromerzeugung</w:t>
      </w:r>
      <w:r>
        <w:t xml:space="preserve">. </w:t>
      </w:r>
    </w:p>
    <w:p w14:paraId="36E71B30" w14:textId="28D91B17" w:rsidR="00577280" w:rsidRDefault="00577280" w:rsidP="00577280">
      <w:pPr>
        <w:spacing w:line="360" w:lineRule="auto"/>
      </w:pPr>
      <w:r>
        <w:t xml:space="preserve">Gerade hinsichtlich </w:t>
      </w:r>
      <w:r w:rsidRPr="00564AEA">
        <w:t>Ressourcenverbrauch</w:t>
      </w:r>
      <w:r>
        <w:t xml:space="preserve"> liefert die </w:t>
      </w:r>
      <w:proofErr w:type="spellStart"/>
      <w:r>
        <w:t>tde</w:t>
      </w:r>
      <w:proofErr w:type="spellEnd"/>
      <w:r>
        <w:t xml:space="preserve"> spannenden Input, denn Platz in Rechenzentren ist rar und wertvoll und sollte da</w:t>
      </w:r>
      <w:r w:rsidR="008870A8">
        <w:t>her</w:t>
      </w:r>
      <w:r>
        <w:t xml:space="preserve"> möglichst effizient geplant werden. Um den vorhandenen Platz bestmöglich zu nutzen und die Auslastung zu optimieren, hat die </w:t>
      </w:r>
      <w:proofErr w:type="spellStart"/>
      <w:r>
        <w:t>tde</w:t>
      </w:r>
      <w:proofErr w:type="spellEnd"/>
      <w:r>
        <w:t xml:space="preserve"> den von US </w:t>
      </w:r>
      <w:proofErr w:type="spellStart"/>
      <w:r>
        <w:t>Conec</w:t>
      </w:r>
      <w:proofErr w:type="spellEnd"/>
      <w:r>
        <w:t xml:space="preserve"> entwickelten kompakten MDC-Steckverbinder erfolgreich in ihre </w:t>
      </w:r>
      <w:proofErr w:type="spellStart"/>
      <w:r>
        <w:t>tML</w:t>
      </w:r>
      <w:proofErr w:type="spellEnd"/>
      <w:r>
        <w:t xml:space="preserve">-Systemplattformen integriert: „Als Technologie-Pionier sowie langjähriger und vertrauensvoller Partner von US </w:t>
      </w:r>
      <w:proofErr w:type="spellStart"/>
      <w:r>
        <w:t>Conec</w:t>
      </w:r>
      <w:proofErr w:type="spellEnd"/>
      <w:r>
        <w:t xml:space="preserve"> kombinieren wir den Vorteil des sehr kompakten MDC-Steckverbinders mit unseren </w:t>
      </w:r>
      <w:proofErr w:type="spellStart"/>
      <w:r>
        <w:t>tML</w:t>
      </w:r>
      <w:proofErr w:type="spellEnd"/>
      <w:r>
        <w:t xml:space="preserve">-Systemen. So können wir bereits heute als erster Hersteller überhaupt eine modulare Verkabelungsplattform </w:t>
      </w:r>
      <w:r>
        <w:lastRenderedPageBreak/>
        <w:t>basierend auf dem LWL-MDC-Modul anbieten und liefern</w:t>
      </w:r>
      <w:r w:rsidR="00B64A53">
        <w:t>. D</w:t>
      </w:r>
      <w:r>
        <w:t xml:space="preserve">amit unterstreichen wir unseren Anspruch als Innovationsführer“, sagt André Engel, Geschäftsführer der </w:t>
      </w:r>
      <w:proofErr w:type="spellStart"/>
      <w:r>
        <w:t>tde</w:t>
      </w:r>
      <w:proofErr w:type="spellEnd"/>
      <w:r>
        <w:t>.</w:t>
      </w:r>
    </w:p>
    <w:p w14:paraId="3B8B4B4F" w14:textId="67F593A3" w:rsidR="003A768A" w:rsidRDefault="00297501" w:rsidP="00297501">
      <w:pPr>
        <w:widowControl w:val="0"/>
        <w:autoSpaceDE w:val="0"/>
        <w:autoSpaceDN w:val="0"/>
        <w:adjustRightInd w:val="0"/>
        <w:spacing w:line="360" w:lineRule="auto"/>
        <w:ind w:right="-6"/>
      </w:pPr>
      <w:r>
        <w:t xml:space="preserve">Ein weiteres Element der </w:t>
      </w:r>
      <w:proofErr w:type="spellStart"/>
      <w:r>
        <w:t>tML</w:t>
      </w:r>
      <w:proofErr w:type="spellEnd"/>
      <w:r>
        <w:t xml:space="preserve">-Systemplattform </w:t>
      </w:r>
      <w:r w:rsidR="00EF556C">
        <w:t>präsentiert</w:t>
      </w:r>
      <w:r>
        <w:t xml:space="preserve"> der Netzwerkspezialist in einer überarbeiteten Version: Der neue </w:t>
      </w:r>
      <w:r w:rsidR="00375E5D">
        <w:t xml:space="preserve">19-Zoll </w:t>
      </w:r>
      <w:proofErr w:type="spellStart"/>
      <w:r>
        <w:t>tML</w:t>
      </w:r>
      <w:proofErr w:type="spellEnd"/>
      <w:r w:rsidR="00375E5D">
        <w:t>-</w:t>
      </w:r>
      <w:r>
        <w:t xml:space="preserve">Modulträger </w:t>
      </w:r>
      <w:r w:rsidR="00375E5D">
        <w:t xml:space="preserve">mit einer Höheneinheit für den </w:t>
      </w:r>
      <w:r>
        <w:t xml:space="preserve">Festeinbau </w:t>
      </w:r>
      <w:r w:rsidR="0085578D">
        <w:t xml:space="preserve">besitzt </w:t>
      </w:r>
      <w:r>
        <w:t xml:space="preserve">nicht nur </w:t>
      </w:r>
      <w:r w:rsidR="004B04F1">
        <w:t xml:space="preserve">einen </w:t>
      </w:r>
      <w:r>
        <w:t>stabiler</w:t>
      </w:r>
      <w:r w:rsidR="0085578D">
        <w:t>en</w:t>
      </w:r>
      <w:r>
        <w:t xml:space="preserve"> </w:t>
      </w:r>
      <w:r w:rsidR="00A83B94">
        <w:t>Aufbau</w:t>
      </w:r>
      <w:r>
        <w:t>, sondern reduziert auch den Montageaufwand. „Das Design haben wir an den ausziehbaren Modulträger angelehnt“, so Engel. „So lässt sich nun auch hier die bekannte Abdeckung mit integrierter Patchkabel-Führung verwenden.“</w:t>
      </w:r>
    </w:p>
    <w:p w14:paraId="184D22EC" w14:textId="76DB459C" w:rsidR="00577280" w:rsidRDefault="00577280" w:rsidP="00577280">
      <w:pPr>
        <w:widowControl w:val="0"/>
        <w:autoSpaceDE w:val="0"/>
        <w:autoSpaceDN w:val="0"/>
        <w:adjustRightInd w:val="0"/>
        <w:spacing w:line="360" w:lineRule="auto"/>
        <w:ind w:right="-6"/>
      </w:pPr>
      <w:proofErr w:type="spellStart"/>
      <w:r>
        <w:rPr>
          <w:rFonts w:ascii="Calibri-Italic" w:hAnsi="Calibri-Italic" w:cs="Calibri-Italic"/>
          <w:i/>
          <w:iCs/>
        </w:rPr>
        <w:t>tML</w:t>
      </w:r>
      <w:proofErr w:type="spellEnd"/>
      <w:r>
        <w:rPr>
          <w:rFonts w:ascii="Calibri-Italic" w:hAnsi="Calibri-Italic" w:cs="Calibri-Italic"/>
          <w:i/>
          <w:iCs/>
        </w:rPr>
        <w:t xml:space="preserve"> bietet </w:t>
      </w:r>
      <w:r w:rsidRPr="006A3C8D">
        <w:rPr>
          <w:rFonts w:ascii="Calibri-Italic" w:hAnsi="Calibri-Italic" w:cs="Calibri-Italic"/>
          <w:i/>
          <w:iCs/>
        </w:rPr>
        <w:t xml:space="preserve">zukunftssichere Lösung für </w:t>
      </w:r>
      <w:r>
        <w:rPr>
          <w:rFonts w:ascii="Calibri-Italic" w:hAnsi="Calibri-Italic" w:cs="Calibri-Italic"/>
          <w:i/>
          <w:iCs/>
        </w:rPr>
        <w:t>gängige und künftige Steckverbinder</w:t>
      </w:r>
      <w:r w:rsidR="004B04F1">
        <w:rPr>
          <w:rFonts w:ascii="Calibri-Italic" w:hAnsi="Calibri-Italic" w:cs="Calibri-Italic"/>
          <w:i/>
          <w:iCs/>
        </w:rPr>
        <w:br/>
      </w:r>
      <w:r>
        <w:t xml:space="preserve">Unternehmen erhalten mit dem </w:t>
      </w:r>
      <w:proofErr w:type="spellStart"/>
      <w:r>
        <w:t>tML</w:t>
      </w:r>
      <w:proofErr w:type="spellEnd"/>
      <w:r>
        <w:t xml:space="preserve"> – </w:t>
      </w:r>
      <w:proofErr w:type="spellStart"/>
      <w:r>
        <w:t>tde</w:t>
      </w:r>
      <w:proofErr w:type="spellEnd"/>
      <w:r>
        <w:t xml:space="preserve"> Modular Link System eine bewährte und zuverlässige Systemplattform. Diese bindet im </w:t>
      </w:r>
      <w:proofErr w:type="spellStart"/>
      <w:r>
        <w:t>Patchbereich</w:t>
      </w:r>
      <w:proofErr w:type="spellEnd"/>
      <w:r>
        <w:t xml:space="preserve"> alle derzeit gängigen Steckverbinder ein, ist aber ebenso offen für künftige Steckgesichter. </w:t>
      </w:r>
      <w:r w:rsidR="008870A8">
        <w:t>Möglich macht dies d</w:t>
      </w:r>
      <w:r>
        <w:t xml:space="preserve">ie spezielle Bauform der </w:t>
      </w:r>
      <w:proofErr w:type="spellStart"/>
      <w:r>
        <w:t>tML</w:t>
      </w:r>
      <w:proofErr w:type="spellEnd"/>
      <w:r>
        <w:t xml:space="preserve">-Module. Die </w:t>
      </w:r>
      <w:proofErr w:type="spellStart"/>
      <w:r>
        <w:t>tde</w:t>
      </w:r>
      <w:proofErr w:type="spellEnd"/>
      <w:r>
        <w:t xml:space="preserve"> integriert den URM-kompatiblen </w:t>
      </w:r>
      <w:bookmarkStart w:id="0" w:name="_Hlk80882359"/>
      <w:proofErr w:type="spellStart"/>
      <w:r>
        <w:t>RaMiCo</w:t>
      </w:r>
      <w:bookmarkEnd w:id="0"/>
      <w:proofErr w:type="spellEnd"/>
      <w:r>
        <w:t xml:space="preserve"> Steckverbinder in ihre Systemplattform und setzt so auf ein bewährtes System. Er bietet 1,25</w:t>
      </w:r>
      <w:r w:rsidR="008870A8">
        <w:t>-</w:t>
      </w:r>
      <w:r>
        <w:t>mm</w:t>
      </w:r>
      <w:r w:rsidR="008870A8">
        <w:t>-</w:t>
      </w:r>
      <w:r>
        <w:t xml:space="preserve">Ferrulen in einem Stecker mit geringer Bauform. Das </w:t>
      </w:r>
      <w:proofErr w:type="spellStart"/>
      <w:r>
        <w:t>tML</w:t>
      </w:r>
      <w:proofErr w:type="spellEnd"/>
      <w:r>
        <w:t xml:space="preserve">-System integriert auch die neuen CS- und SN-Steckverbinder von </w:t>
      </w:r>
      <w:proofErr w:type="spellStart"/>
      <w:r>
        <w:t>Senko</w:t>
      </w:r>
      <w:proofErr w:type="spellEnd"/>
      <w:r>
        <w:t xml:space="preserve"> sowie den neuen MDC-Steckverbinder von US </w:t>
      </w:r>
      <w:proofErr w:type="spellStart"/>
      <w:r>
        <w:t>Conec</w:t>
      </w:r>
      <w:proofErr w:type="spellEnd"/>
      <w:r>
        <w:t xml:space="preserve">. </w:t>
      </w:r>
      <w:r w:rsidR="00B64A53">
        <w:t xml:space="preserve">In Kombination mit der </w:t>
      </w:r>
      <w:proofErr w:type="spellStart"/>
      <w:r w:rsidR="00B64A53">
        <w:t>tML</w:t>
      </w:r>
      <w:proofErr w:type="spellEnd"/>
      <w:r w:rsidR="00B64A53">
        <w:t>-Systemplattform finden m</w:t>
      </w:r>
      <w:r>
        <w:t xml:space="preserve">it dem CS-Steckverbinder bis zu 256 Fasern, mit dem MDC-Steckverbinder 384 Fasern und mit dem </w:t>
      </w:r>
      <w:r w:rsidR="00375E5D">
        <w:br/>
      </w:r>
      <w:proofErr w:type="spellStart"/>
      <w:r w:rsidR="00A83B94" w:rsidRPr="00A83B94">
        <w:t>RaMiCo</w:t>
      </w:r>
      <w:proofErr w:type="spellEnd"/>
      <w:r>
        <w:t xml:space="preserve">-Steckverbinder 192 Fasern auf einer Höheneinheit Platz. Auf diese Weise lässt sich </w:t>
      </w:r>
      <w:r w:rsidR="008870A8">
        <w:t>d</w:t>
      </w:r>
      <w:r w:rsidR="00A83B94">
        <w:t>er</w:t>
      </w:r>
      <w:r>
        <w:t xml:space="preserve"> </w:t>
      </w:r>
      <w:r w:rsidR="00A83B94">
        <w:t>Platzbedarf</w:t>
      </w:r>
      <w:r>
        <w:t xml:space="preserve"> in Rechenzentren bestmöglich optimieren.</w:t>
      </w:r>
    </w:p>
    <w:p w14:paraId="09E82A39" w14:textId="77777777" w:rsidR="00B64A53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proofErr w:type="spellStart"/>
      <w:r w:rsidRPr="00AC2D28">
        <w:rPr>
          <w:rFonts w:ascii="Calibri-Bold" w:hAnsi="Calibri-Bold" w:cs="Calibri-Bold"/>
          <w:b/>
          <w:bCs/>
          <w:u w:color="0563C1"/>
        </w:rPr>
        <w:t>LANline</w:t>
      </w:r>
      <w:proofErr w:type="spellEnd"/>
      <w:r w:rsidRPr="00AC2D28">
        <w:rPr>
          <w:rFonts w:ascii="Calibri-Bold" w:hAnsi="Calibri-Bold" w:cs="Calibri-Bold"/>
          <w:b/>
          <w:bCs/>
          <w:u w:color="0563C1"/>
        </w:rPr>
        <w:t xml:space="preserve"> Datacenter Symposium zum Thema </w:t>
      </w:r>
    </w:p>
    <w:p w14:paraId="25EAFC65" w14:textId="47B1C53A" w:rsidR="00577280" w:rsidRPr="00AC2D28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 w:rsidRPr="00AC2D28">
        <w:rPr>
          <w:rFonts w:ascii="Calibri-Bold" w:hAnsi="Calibri-Bold" w:cs="Calibri-Bold"/>
          <w:b/>
          <w:bCs/>
          <w:u w:color="0563C1"/>
        </w:rPr>
        <w:t>„Moderner Datacenter-Betrieb:</w:t>
      </w:r>
    </w:p>
    <w:p w14:paraId="42E17486" w14:textId="61966B50" w:rsidR="00577280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 w:rsidRPr="00AC2D28">
        <w:rPr>
          <w:rFonts w:ascii="Calibri-Bold" w:hAnsi="Calibri-Bold" w:cs="Calibri-Bold"/>
          <w:b/>
          <w:bCs/>
          <w:u w:color="0563C1"/>
        </w:rPr>
        <w:t xml:space="preserve">Das eigene RZ im Zusammenspiel mit Cloud, Hosting und </w:t>
      </w:r>
      <w:proofErr w:type="spellStart"/>
      <w:r w:rsidRPr="00AC2D28">
        <w:rPr>
          <w:rFonts w:ascii="Calibri-Bold" w:hAnsi="Calibri-Bold" w:cs="Calibri-Bold"/>
          <w:b/>
          <w:bCs/>
          <w:u w:color="0563C1"/>
        </w:rPr>
        <w:t>Colocation</w:t>
      </w:r>
      <w:proofErr w:type="spellEnd"/>
      <w:r w:rsidRPr="00AC2D28">
        <w:rPr>
          <w:rFonts w:ascii="Calibri-Bold" w:hAnsi="Calibri-Bold" w:cs="Calibri-Bold"/>
          <w:b/>
          <w:bCs/>
          <w:u w:color="0563C1"/>
        </w:rPr>
        <w:t>”</w:t>
      </w:r>
    </w:p>
    <w:p w14:paraId="5E401D9B" w14:textId="77777777" w:rsidR="00577280" w:rsidRPr="00AC2D28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b/>
          <w:bCs/>
        </w:rPr>
      </w:pPr>
    </w:p>
    <w:p w14:paraId="5CBCB6D9" w14:textId="77777777" w:rsidR="00577280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>
        <w:rPr>
          <w:rFonts w:ascii="Calibri-Bold" w:hAnsi="Calibri-Bold" w:cs="Calibri-Bold"/>
          <w:b/>
          <w:bCs/>
          <w:u w:color="0563C1"/>
        </w:rPr>
        <w:t>23. September 2021</w:t>
      </w:r>
    </w:p>
    <w:p w14:paraId="4EBF801E" w14:textId="77777777" w:rsidR="00577280" w:rsidRPr="00C0511E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 w:rsidRPr="00C0511E">
        <w:rPr>
          <w:rFonts w:ascii="Calibri-Bold" w:hAnsi="Calibri-Bold" w:cs="Calibri-Bold"/>
          <w:b/>
          <w:bCs/>
          <w:u w:color="0563C1"/>
        </w:rPr>
        <w:t>H4 Hotel München Messe</w:t>
      </w:r>
    </w:p>
    <w:p w14:paraId="23A2DE36" w14:textId="77777777" w:rsidR="00577280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  <w:r w:rsidRPr="00C0511E">
        <w:rPr>
          <w:rFonts w:ascii="Calibri-Bold" w:hAnsi="Calibri-Bold" w:cs="Calibri-Bold"/>
          <w:b/>
          <w:bCs/>
          <w:u w:color="0563C1"/>
        </w:rPr>
        <w:t>Konrad-Zuse-Platz 14, 81829 München</w:t>
      </w:r>
    </w:p>
    <w:p w14:paraId="3A3372E4" w14:textId="77777777" w:rsidR="00577280" w:rsidRPr="00C0511E" w:rsidRDefault="00577280" w:rsidP="00577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Calibri-Bold" w:hAnsi="Calibri-Bold" w:cs="Calibri-Bold"/>
          <w:b/>
          <w:bCs/>
          <w:u w:color="0563C1"/>
        </w:rPr>
      </w:pPr>
    </w:p>
    <w:p w14:paraId="62CB7449" w14:textId="77777777" w:rsidR="00577280" w:rsidRPr="004B04F1" w:rsidRDefault="00577280" w:rsidP="00577280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u w:color="0563C1"/>
        </w:rPr>
      </w:pPr>
      <w:r>
        <w:rPr>
          <w:rFonts w:ascii="Calibri-Bold" w:hAnsi="Calibri-Bold" w:cs="Calibri-Bold"/>
          <w:b/>
          <w:bCs/>
          <w:u w:color="0563C1"/>
        </w:rPr>
        <w:t>Weitere Informationen und Anmeldung unter:</w:t>
      </w:r>
      <w:r>
        <w:rPr>
          <w:sz w:val="24"/>
          <w:szCs w:val="24"/>
          <w:u w:color="0563C1"/>
        </w:rPr>
        <w:t xml:space="preserve"> </w:t>
      </w:r>
      <w:hyperlink r:id="rId10" w:history="1">
        <w:r w:rsidRPr="004B04F1">
          <w:rPr>
            <w:rStyle w:val="Hyperlink"/>
          </w:rPr>
          <w:t>https://www.tde.de/de/events-details/lanline-datacenter-symposium-in-muenchen.html</w:t>
        </w:r>
      </w:hyperlink>
    </w:p>
    <w:p w14:paraId="088B399C" w14:textId="77777777" w:rsidR="00030B21" w:rsidRDefault="00030B21" w:rsidP="006035BB"/>
    <w:p w14:paraId="0E1AD231" w14:textId="43BB6E82" w:rsidR="00E843AA" w:rsidRDefault="009D0F98" w:rsidP="006035BB">
      <w:pPr>
        <w:rPr>
          <w:rStyle w:val="Hyperlink"/>
          <w:rFonts w:cs="Calibri"/>
        </w:rPr>
      </w:pPr>
      <w:r>
        <w:br/>
      </w:r>
      <w:r w:rsidR="00E843AA">
        <w:rPr>
          <w:rFonts w:cs="Verdana"/>
          <w:b/>
          <w:bCs/>
          <w:sz w:val="18"/>
          <w:szCs w:val="16"/>
        </w:rPr>
        <w:t xml:space="preserve">Über die </w:t>
      </w:r>
      <w:proofErr w:type="spellStart"/>
      <w:r w:rsidR="00E843AA">
        <w:rPr>
          <w:rFonts w:cs="Verdana"/>
          <w:b/>
          <w:bCs/>
          <w:sz w:val="18"/>
          <w:szCs w:val="16"/>
        </w:rPr>
        <w:t>tde</w:t>
      </w:r>
      <w:proofErr w:type="spellEnd"/>
      <w:r w:rsidR="00E843AA">
        <w:rPr>
          <w:rFonts w:cs="Verdana"/>
          <w:b/>
          <w:bCs/>
          <w:sz w:val="18"/>
          <w:szCs w:val="16"/>
        </w:rPr>
        <w:t xml:space="preserve"> – </w:t>
      </w:r>
      <w:proofErr w:type="spellStart"/>
      <w:r w:rsidR="00E843AA">
        <w:rPr>
          <w:rFonts w:cs="Verdana"/>
          <w:b/>
          <w:bCs/>
          <w:sz w:val="18"/>
          <w:szCs w:val="16"/>
        </w:rPr>
        <w:t>trans</w:t>
      </w:r>
      <w:proofErr w:type="spellEnd"/>
      <w:r w:rsidR="00E843AA">
        <w:rPr>
          <w:rFonts w:cs="Verdana"/>
          <w:b/>
          <w:bCs/>
          <w:sz w:val="18"/>
          <w:szCs w:val="16"/>
        </w:rPr>
        <w:t xml:space="preserve"> </w:t>
      </w:r>
      <w:proofErr w:type="spellStart"/>
      <w:r w:rsidR="00E843AA">
        <w:rPr>
          <w:rFonts w:cs="Verdana"/>
          <w:b/>
          <w:bCs/>
          <w:sz w:val="18"/>
          <w:szCs w:val="16"/>
        </w:rPr>
        <w:t>data</w:t>
      </w:r>
      <w:proofErr w:type="spellEnd"/>
      <w:r w:rsidR="00E843AA">
        <w:rPr>
          <w:rFonts w:cs="Verdana"/>
          <w:b/>
          <w:bCs/>
          <w:sz w:val="18"/>
          <w:szCs w:val="16"/>
        </w:rPr>
        <w:t xml:space="preserve"> </w:t>
      </w:r>
      <w:proofErr w:type="spellStart"/>
      <w:r w:rsidR="00E843AA">
        <w:rPr>
          <w:rFonts w:cs="Verdana"/>
          <w:b/>
          <w:bCs/>
          <w:sz w:val="18"/>
          <w:szCs w:val="16"/>
        </w:rPr>
        <w:t>elektronik</w:t>
      </w:r>
      <w:proofErr w:type="spellEnd"/>
      <w:r w:rsidR="00E843AA">
        <w:rPr>
          <w:rFonts w:cs="Verdana"/>
          <w:b/>
          <w:bCs/>
          <w:sz w:val="18"/>
          <w:szCs w:val="16"/>
        </w:rPr>
        <w:t xml:space="preserve"> GmbH</w:t>
      </w:r>
      <w:r w:rsidR="00E843AA">
        <w:rPr>
          <w:sz w:val="18"/>
          <w:szCs w:val="16"/>
        </w:rPr>
        <w:br/>
        <w:t xml:space="preserve">Als international erfolgreiches Unternehmen ist die </w:t>
      </w:r>
      <w:proofErr w:type="spellStart"/>
      <w:r w:rsidR="00E843AA">
        <w:rPr>
          <w:sz w:val="18"/>
          <w:szCs w:val="16"/>
        </w:rPr>
        <w:t>tde</w:t>
      </w:r>
      <w:proofErr w:type="spellEnd"/>
      <w:r w:rsidR="00E843AA">
        <w:rPr>
          <w:sz w:val="18"/>
          <w:szCs w:val="16"/>
        </w:rPr>
        <w:t xml:space="preserve"> – </w:t>
      </w:r>
      <w:proofErr w:type="spellStart"/>
      <w:r w:rsidR="00E843AA">
        <w:rPr>
          <w:sz w:val="18"/>
          <w:szCs w:val="16"/>
        </w:rPr>
        <w:t>trans</w:t>
      </w:r>
      <w:proofErr w:type="spellEnd"/>
      <w:r w:rsidR="00E843AA">
        <w:rPr>
          <w:sz w:val="18"/>
          <w:szCs w:val="16"/>
        </w:rPr>
        <w:t xml:space="preserve"> </w:t>
      </w:r>
      <w:proofErr w:type="spellStart"/>
      <w:r w:rsidR="00E843AA">
        <w:rPr>
          <w:sz w:val="18"/>
          <w:szCs w:val="16"/>
        </w:rPr>
        <w:t>data</w:t>
      </w:r>
      <w:proofErr w:type="spellEnd"/>
      <w:r w:rsidR="00E843AA">
        <w:rPr>
          <w:sz w:val="18"/>
          <w:szCs w:val="16"/>
        </w:rPr>
        <w:t xml:space="preserve"> </w:t>
      </w:r>
      <w:proofErr w:type="spellStart"/>
      <w:r w:rsidR="00E843AA">
        <w:rPr>
          <w:sz w:val="18"/>
          <w:szCs w:val="16"/>
        </w:rPr>
        <w:t>elektronik</w:t>
      </w:r>
      <w:proofErr w:type="spellEnd"/>
      <w:r w:rsidR="00E843AA">
        <w:rPr>
          <w:sz w:val="18"/>
          <w:szCs w:val="16"/>
        </w:rPr>
        <w:t xml:space="preserve"> GmbH seit </w:t>
      </w:r>
      <w:r w:rsidR="006E283C">
        <w:rPr>
          <w:sz w:val="18"/>
          <w:szCs w:val="16"/>
        </w:rPr>
        <w:t>30</w:t>
      </w:r>
      <w:r w:rsidR="00E843AA">
        <w:rPr>
          <w:sz w:val="18"/>
          <w:szCs w:val="16"/>
        </w:rPr>
        <w:t xml:space="preserve"> Jahren auf die Entwicklung und Herstellung skalierbarer Verkabelungssysteme für größte Packungsdichten spezialisiert. Auch das </w:t>
      </w:r>
      <w:r w:rsidR="00E843AA">
        <w:rPr>
          <w:rFonts w:cs="Cambria"/>
          <w:sz w:val="18"/>
          <w:szCs w:val="16"/>
        </w:rPr>
        <w:lastRenderedPageBreak/>
        <w:t xml:space="preserve">Kernforschungszentrum </w:t>
      </w:r>
      <w:r w:rsidR="00E843AA"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 w:rsidR="00E843AA">
        <w:rPr>
          <w:sz w:val="18"/>
          <w:szCs w:val="16"/>
        </w:rPr>
        <w:t xml:space="preserve"> Mehrfasertechnik (MPO)</w:t>
      </w:r>
      <w:r w:rsidR="00E843AA">
        <w:rPr>
          <w:color w:val="000000"/>
          <w:sz w:val="18"/>
          <w:szCs w:val="16"/>
        </w:rPr>
        <w:t xml:space="preserve">. </w:t>
      </w:r>
      <w:r w:rsidR="000B2741">
        <w:rPr>
          <w:color w:val="000000"/>
          <w:sz w:val="18"/>
          <w:szCs w:val="16"/>
        </w:rPr>
        <w:br/>
      </w:r>
      <w:r w:rsidR="00E843AA">
        <w:rPr>
          <w:color w:val="000000"/>
          <w:sz w:val="18"/>
          <w:szCs w:val="16"/>
        </w:rPr>
        <w:t xml:space="preserve">Das Portfolio </w:t>
      </w:r>
      <w:r w:rsidR="00E843AA">
        <w:rPr>
          <w:sz w:val="18"/>
          <w:szCs w:val="16"/>
        </w:rPr>
        <w:t xml:space="preserve">„Made in Germany“ </w:t>
      </w:r>
      <w:r w:rsidR="00E843AA">
        <w:rPr>
          <w:color w:val="000000"/>
          <w:sz w:val="18"/>
          <w:szCs w:val="16"/>
        </w:rPr>
        <w:t>umfasst komplette Systemlösungen mit Schwerpunkt Plug-and-play</w:t>
      </w:r>
      <w:r w:rsidR="00E843AA">
        <w:rPr>
          <w:sz w:val="18"/>
          <w:szCs w:val="16"/>
        </w:rPr>
        <w:t xml:space="preserve"> für High-Speed-Anwendungen im Bereich Datacom, Telecom, Industry, Medical und Defence. </w:t>
      </w:r>
      <w:proofErr w:type="spellStart"/>
      <w:r w:rsidR="00E843AA">
        <w:rPr>
          <w:sz w:val="18"/>
          <w:szCs w:val="16"/>
        </w:rPr>
        <w:t>tde</w:t>
      </w:r>
      <w:proofErr w:type="spellEnd"/>
      <w:r w:rsidR="00E843AA">
        <w:rPr>
          <w:sz w:val="18"/>
          <w:szCs w:val="16"/>
        </w:rPr>
        <w:t xml:space="preserve"> bietet mit einer eigenen Service-Abteilung Planungs- und Installationsleistungen aus einer Hand und unterstützt den „European Code </w:t>
      </w:r>
      <w:proofErr w:type="spellStart"/>
      <w:r w:rsidR="00E843AA">
        <w:rPr>
          <w:sz w:val="18"/>
          <w:szCs w:val="16"/>
        </w:rPr>
        <w:t>of</w:t>
      </w:r>
      <w:proofErr w:type="spellEnd"/>
      <w:r w:rsidR="00E843AA">
        <w:rPr>
          <w:sz w:val="18"/>
          <w:szCs w:val="16"/>
        </w:rPr>
        <w:t xml:space="preserve"> Conduct“ für Energieeffizienz in Rechenzentren. </w:t>
      </w:r>
      <w:r w:rsidR="004576F2">
        <w:rPr>
          <w:sz w:val="18"/>
          <w:szCs w:val="16"/>
        </w:rPr>
        <w:t xml:space="preserve">Mehr unter: </w:t>
      </w:r>
      <w:hyperlink r:id="rId11" w:history="1">
        <w:r w:rsidR="004576F2">
          <w:rPr>
            <w:rStyle w:val="Hyperlink"/>
            <w:rFonts w:cs="Calibri"/>
            <w:sz w:val="18"/>
          </w:rPr>
          <w:t>www.tde.de</w:t>
        </w:r>
      </w:hyperlink>
      <w:r w:rsidR="004576F2">
        <w:rPr>
          <w:rStyle w:val="Hyperlink"/>
          <w:rFonts w:cs="Calibri"/>
          <w:sz w:val="18"/>
        </w:rPr>
        <w:t xml:space="preserve"> </w:t>
      </w:r>
      <w:r w:rsidR="004576F2" w:rsidRPr="008379C6">
        <w:rPr>
          <w:sz w:val="18"/>
          <w:szCs w:val="16"/>
        </w:rPr>
        <w:t xml:space="preserve">sowie auf </w:t>
      </w:r>
      <w:hyperlink r:id="rId12" w:history="1">
        <w:r w:rsidR="004576F2" w:rsidRPr="008379C6">
          <w:rPr>
            <w:rStyle w:val="Hyperlink"/>
            <w:rFonts w:cs="Calibri"/>
            <w:sz w:val="18"/>
            <w:szCs w:val="16"/>
          </w:rPr>
          <w:t>LinkedIn</w:t>
        </w:r>
      </w:hyperlink>
      <w:r w:rsidR="004576F2" w:rsidRPr="008379C6">
        <w:rPr>
          <w:sz w:val="18"/>
          <w:szCs w:val="16"/>
        </w:rPr>
        <w:t xml:space="preserve">, </w:t>
      </w:r>
      <w:hyperlink r:id="rId13" w:history="1">
        <w:r w:rsidR="004576F2" w:rsidRPr="008379C6">
          <w:rPr>
            <w:rStyle w:val="Hyperlink"/>
            <w:rFonts w:cs="Calibri"/>
            <w:sz w:val="18"/>
            <w:szCs w:val="16"/>
          </w:rPr>
          <w:t>Twitter</w:t>
        </w:r>
      </w:hyperlink>
      <w:r w:rsidR="004576F2" w:rsidRPr="008379C6">
        <w:rPr>
          <w:sz w:val="18"/>
          <w:szCs w:val="16"/>
        </w:rPr>
        <w:t xml:space="preserve"> und </w:t>
      </w:r>
      <w:hyperlink r:id="rId14" w:history="1">
        <w:r w:rsidR="004576F2" w:rsidRPr="000C77E9">
          <w:rPr>
            <w:rStyle w:val="Hyperlink"/>
            <w:rFonts w:cs="Calibri"/>
            <w:sz w:val="18"/>
            <w:szCs w:val="16"/>
          </w:rPr>
          <w:t>Xing</w:t>
        </w:r>
      </w:hyperlink>
      <w:r w:rsidR="004576F2" w:rsidRPr="008379C6">
        <w:rPr>
          <w:sz w:val="18"/>
          <w:szCs w:val="16"/>
        </w:rPr>
        <w:t xml:space="preserve">. </w:t>
      </w:r>
      <w:r w:rsidR="004576F2">
        <w:rPr>
          <w:sz w:val="18"/>
          <w:szCs w:val="16"/>
        </w:rPr>
        <w:br/>
      </w:r>
      <w:r w:rsidR="004576F2">
        <w:rPr>
          <w:sz w:val="18"/>
          <w:szCs w:val="16"/>
        </w:rPr>
        <w:br/>
      </w:r>
      <w:r w:rsidR="00E843AA">
        <w:rPr>
          <w:rFonts w:cs="Verdana"/>
          <w:b/>
          <w:bCs/>
          <w:sz w:val="18"/>
          <w:szCs w:val="16"/>
        </w:rPr>
        <w:t>Unternehmenskontakt</w:t>
      </w:r>
      <w:r w:rsidR="00E843AA">
        <w:rPr>
          <w:rFonts w:cs="Verdana"/>
          <w:b/>
          <w:bCs/>
          <w:sz w:val="18"/>
          <w:szCs w:val="16"/>
        </w:rPr>
        <w:br/>
      </w:r>
      <w:proofErr w:type="spellStart"/>
      <w:r w:rsidR="00E843AA">
        <w:rPr>
          <w:sz w:val="18"/>
          <w:szCs w:val="16"/>
        </w:rPr>
        <w:t>tde</w:t>
      </w:r>
      <w:proofErr w:type="spellEnd"/>
      <w:r w:rsidR="00E843AA">
        <w:rPr>
          <w:sz w:val="18"/>
          <w:szCs w:val="16"/>
        </w:rPr>
        <w:t xml:space="preserve"> – </w:t>
      </w:r>
      <w:proofErr w:type="spellStart"/>
      <w:r w:rsidR="00E843AA">
        <w:rPr>
          <w:sz w:val="18"/>
          <w:szCs w:val="16"/>
        </w:rPr>
        <w:t>trans</w:t>
      </w:r>
      <w:proofErr w:type="spellEnd"/>
      <w:r w:rsidR="00E843AA">
        <w:rPr>
          <w:sz w:val="18"/>
          <w:szCs w:val="16"/>
        </w:rPr>
        <w:t xml:space="preserve"> </w:t>
      </w:r>
      <w:proofErr w:type="spellStart"/>
      <w:r w:rsidR="00E843AA">
        <w:rPr>
          <w:sz w:val="18"/>
          <w:szCs w:val="16"/>
        </w:rPr>
        <w:t>data</w:t>
      </w:r>
      <w:proofErr w:type="spellEnd"/>
      <w:r w:rsidR="00E843AA">
        <w:rPr>
          <w:sz w:val="18"/>
          <w:szCs w:val="16"/>
        </w:rPr>
        <w:t xml:space="preserve"> </w:t>
      </w:r>
      <w:proofErr w:type="spellStart"/>
      <w:r w:rsidR="00E843AA">
        <w:rPr>
          <w:sz w:val="18"/>
          <w:szCs w:val="16"/>
        </w:rPr>
        <w:t>elektronik</w:t>
      </w:r>
      <w:proofErr w:type="spellEnd"/>
      <w:r w:rsidR="00E843AA">
        <w:rPr>
          <w:sz w:val="18"/>
          <w:szCs w:val="16"/>
        </w:rPr>
        <w:t xml:space="preserve"> GmbH, Vertriebsbüro Dortmund</w:t>
      </w:r>
      <w:r w:rsidR="00E843AA">
        <w:rPr>
          <w:sz w:val="18"/>
          <w:szCs w:val="16"/>
        </w:rPr>
        <w:br/>
        <w:t>André Engel, Prinz-Friedrich-Karl-Str. 46, D - 44135 Dortmund</w:t>
      </w:r>
      <w:r w:rsidR="00E843AA">
        <w:rPr>
          <w:sz w:val="18"/>
          <w:szCs w:val="16"/>
        </w:rPr>
        <w:br/>
        <w:t xml:space="preserve">Tel. +49 231 160480, Fax +49 231 160933, </w:t>
      </w:r>
      <w:hyperlink r:id="rId15" w:history="1">
        <w:r w:rsidR="00E843AA">
          <w:rPr>
            <w:rStyle w:val="Hyperlink"/>
            <w:rFonts w:cs="Calibri"/>
            <w:sz w:val="18"/>
          </w:rPr>
          <w:t>info@tde.de</w:t>
        </w:r>
      </w:hyperlink>
      <w:r w:rsidR="00E843AA">
        <w:rPr>
          <w:sz w:val="18"/>
          <w:szCs w:val="16"/>
        </w:rPr>
        <w:t xml:space="preserve">, </w:t>
      </w:r>
      <w:hyperlink r:id="rId16" w:history="1">
        <w:r w:rsidR="00E843AA">
          <w:rPr>
            <w:rStyle w:val="Hyperlink"/>
            <w:rFonts w:cs="Calibri"/>
            <w:sz w:val="18"/>
          </w:rPr>
          <w:t>www.tde.de</w:t>
        </w:r>
      </w:hyperlink>
    </w:p>
    <w:p w14:paraId="35FE543A" w14:textId="77777777" w:rsidR="00E843AA" w:rsidRDefault="00E843AA" w:rsidP="00E843AA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78F21846" w14:textId="77777777" w:rsidR="00E843AA" w:rsidRDefault="00E843AA" w:rsidP="00E843AA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7" w:history="1">
        <w:r>
          <w:rPr>
            <w:rStyle w:val="Hyperlink"/>
            <w:rFonts w:cs="Calibri"/>
            <w:sz w:val="18"/>
          </w:rPr>
          <w:t>fs@epr-online.de</w:t>
        </w:r>
      </w:hyperlink>
    </w:p>
    <w:p w14:paraId="7A9A2226" w14:textId="31E63E27" w:rsidR="00E843AA" w:rsidRPr="00B06243" w:rsidRDefault="00C05B97" w:rsidP="00E843AA">
      <w:pPr>
        <w:spacing w:after="0"/>
        <w:jc w:val="both"/>
        <w:rPr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</w:t>
      </w:r>
      <w:r w:rsidR="00E843AA" w:rsidRPr="00B06243">
        <w:rPr>
          <w:sz w:val="18"/>
          <w:szCs w:val="16"/>
          <w:lang w:val="nl-NL"/>
        </w:rPr>
        <w:t>, Tel: +49 821 4508 791</w:t>
      </w:r>
      <w:r w:rsidRPr="00B06243">
        <w:rPr>
          <w:sz w:val="18"/>
          <w:szCs w:val="16"/>
          <w:lang w:val="nl-NL"/>
        </w:rPr>
        <w:t>2</w:t>
      </w:r>
      <w:r w:rsidR="00E843AA" w:rsidRPr="00B06243">
        <w:rPr>
          <w:sz w:val="18"/>
          <w:szCs w:val="16"/>
          <w:lang w:val="nl-NL"/>
        </w:rPr>
        <w:t>,</w:t>
      </w:r>
      <w:r w:rsidR="00E843AA" w:rsidRPr="00B06243">
        <w:rPr>
          <w:b/>
          <w:sz w:val="18"/>
          <w:szCs w:val="16"/>
          <w:lang w:val="nl-NL"/>
        </w:rPr>
        <w:t xml:space="preserve"> </w:t>
      </w:r>
      <w:r w:rsidR="009D0F98" w:rsidRPr="00C071D0">
        <w:rPr>
          <w:rStyle w:val="Hyperlink"/>
          <w:rFonts w:cs="Calibri"/>
          <w:sz w:val="18"/>
          <w:lang w:val="nl-NL"/>
        </w:rPr>
        <w:t>et@epr-online.de</w:t>
      </w:r>
    </w:p>
    <w:p w14:paraId="571108C1" w14:textId="1C9D2D74" w:rsidR="00E843AA" w:rsidRPr="00E843AA" w:rsidRDefault="00FF56BD" w:rsidP="001A7106">
      <w:pPr>
        <w:spacing w:after="0"/>
        <w:jc w:val="both"/>
        <w:rPr>
          <w:rFonts w:cs="Verdana"/>
          <w:sz w:val="18"/>
          <w:szCs w:val="16"/>
        </w:rPr>
      </w:pPr>
      <w:hyperlink r:id="rId18" w:history="1">
        <w:r w:rsidR="00690649" w:rsidRPr="009663BF">
          <w:rPr>
            <w:rStyle w:val="Hyperlink"/>
            <w:rFonts w:cs="Calibri"/>
            <w:sz w:val="18"/>
          </w:rPr>
          <w:t>www.epr-online.de</w:t>
        </w:r>
      </w:hyperlink>
      <w:r w:rsidR="001A7106" w:rsidRPr="00E843AA">
        <w:rPr>
          <w:rFonts w:cs="Verdana"/>
          <w:sz w:val="18"/>
          <w:szCs w:val="16"/>
        </w:rPr>
        <w:t xml:space="preserve"> </w:t>
      </w:r>
    </w:p>
    <w:sectPr w:rsidR="00E843AA" w:rsidRPr="00E843AA" w:rsidSect="006035BB">
      <w:headerReference w:type="default" r:id="rId1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EA53" w14:textId="77777777" w:rsidR="005B3DA8" w:rsidRDefault="005B3DA8" w:rsidP="00986D29">
      <w:pPr>
        <w:spacing w:after="0" w:line="240" w:lineRule="auto"/>
      </w:pPr>
      <w:r>
        <w:separator/>
      </w:r>
    </w:p>
  </w:endnote>
  <w:endnote w:type="continuationSeparator" w:id="0">
    <w:p w14:paraId="509D39E3" w14:textId="77777777" w:rsidR="005B3DA8" w:rsidRDefault="005B3DA8" w:rsidP="00986D29">
      <w:pPr>
        <w:spacing w:after="0" w:line="240" w:lineRule="auto"/>
      </w:pPr>
      <w:r>
        <w:continuationSeparator/>
      </w:r>
    </w:p>
  </w:endnote>
  <w:endnote w:type="continuationNotice" w:id="1">
    <w:p w14:paraId="58BEC4CC" w14:textId="77777777" w:rsidR="005B3DA8" w:rsidRDefault="005B3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E550" w14:textId="77777777" w:rsidR="005B3DA8" w:rsidRDefault="005B3DA8" w:rsidP="00986D29">
      <w:pPr>
        <w:spacing w:after="0" w:line="240" w:lineRule="auto"/>
      </w:pPr>
      <w:r>
        <w:separator/>
      </w:r>
    </w:p>
  </w:footnote>
  <w:footnote w:type="continuationSeparator" w:id="0">
    <w:p w14:paraId="4F3D115A" w14:textId="77777777" w:rsidR="005B3DA8" w:rsidRDefault="005B3DA8" w:rsidP="00986D29">
      <w:pPr>
        <w:spacing w:after="0" w:line="240" w:lineRule="auto"/>
      </w:pPr>
      <w:r>
        <w:continuationSeparator/>
      </w:r>
    </w:p>
  </w:footnote>
  <w:footnote w:type="continuationNotice" w:id="1">
    <w:p w14:paraId="575AB76D" w14:textId="77777777" w:rsidR="005B3DA8" w:rsidRDefault="005B3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9F0" w14:textId="77777777" w:rsidR="00C05B97" w:rsidRDefault="00C05B97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8893C5" wp14:editId="6E99951A">
          <wp:simplePos x="0" y="0"/>
          <wp:positionH relativeFrom="column">
            <wp:posOffset>4743450</wp:posOffset>
          </wp:positionH>
          <wp:positionV relativeFrom="paragraph">
            <wp:posOffset>-40640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126C7" w14:textId="77777777" w:rsidR="00C05B97" w:rsidRDefault="00C05B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9BD"/>
    <w:multiLevelType w:val="hybridMultilevel"/>
    <w:tmpl w:val="FEB63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A96"/>
    <w:multiLevelType w:val="hybridMultilevel"/>
    <w:tmpl w:val="958A78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C02AD8"/>
    <w:multiLevelType w:val="hybridMultilevel"/>
    <w:tmpl w:val="80280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74"/>
    <w:rsid w:val="00003B1E"/>
    <w:rsid w:val="00017639"/>
    <w:rsid w:val="00030B21"/>
    <w:rsid w:val="000366E5"/>
    <w:rsid w:val="0003707D"/>
    <w:rsid w:val="000525B1"/>
    <w:rsid w:val="00065834"/>
    <w:rsid w:val="0006608B"/>
    <w:rsid w:val="0007097A"/>
    <w:rsid w:val="00073613"/>
    <w:rsid w:val="00073D55"/>
    <w:rsid w:val="00077430"/>
    <w:rsid w:val="000B2741"/>
    <w:rsid w:val="000C10F8"/>
    <w:rsid w:val="000C6D28"/>
    <w:rsid w:val="000C77E9"/>
    <w:rsid w:val="000D16EF"/>
    <w:rsid w:val="000D32DF"/>
    <w:rsid w:val="000D74AC"/>
    <w:rsid w:val="000E6175"/>
    <w:rsid w:val="000E6DE9"/>
    <w:rsid w:val="000F463B"/>
    <w:rsid w:val="000F5782"/>
    <w:rsid w:val="0010412E"/>
    <w:rsid w:val="00110F46"/>
    <w:rsid w:val="00111D4B"/>
    <w:rsid w:val="00131840"/>
    <w:rsid w:val="00146E07"/>
    <w:rsid w:val="00147BEF"/>
    <w:rsid w:val="00170E62"/>
    <w:rsid w:val="00193369"/>
    <w:rsid w:val="001A10B1"/>
    <w:rsid w:val="001A7106"/>
    <w:rsid w:val="001B360D"/>
    <w:rsid w:val="001B3B75"/>
    <w:rsid w:val="001B5BD4"/>
    <w:rsid w:val="001B6319"/>
    <w:rsid w:val="001D4F8C"/>
    <w:rsid w:val="001E1C24"/>
    <w:rsid w:val="002172D4"/>
    <w:rsid w:val="0021799B"/>
    <w:rsid w:val="00227D9A"/>
    <w:rsid w:val="00243617"/>
    <w:rsid w:val="00272182"/>
    <w:rsid w:val="00276E7B"/>
    <w:rsid w:val="00283F45"/>
    <w:rsid w:val="00285498"/>
    <w:rsid w:val="00285FE7"/>
    <w:rsid w:val="00297501"/>
    <w:rsid w:val="002A2413"/>
    <w:rsid w:val="002A7D64"/>
    <w:rsid w:val="002B030F"/>
    <w:rsid w:val="002B2E40"/>
    <w:rsid w:val="002C5DA3"/>
    <w:rsid w:val="002C7B0F"/>
    <w:rsid w:val="002E0E40"/>
    <w:rsid w:val="002E63EC"/>
    <w:rsid w:val="00303A9C"/>
    <w:rsid w:val="00307055"/>
    <w:rsid w:val="003102BD"/>
    <w:rsid w:val="003413BC"/>
    <w:rsid w:val="00346ACB"/>
    <w:rsid w:val="0036650E"/>
    <w:rsid w:val="00373792"/>
    <w:rsid w:val="003749B0"/>
    <w:rsid w:val="00375E5D"/>
    <w:rsid w:val="003869C6"/>
    <w:rsid w:val="003A768A"/>
    <w:rsid w:val="003B28E2"/>
    <w:rsid w:val="003B6F62"/>
    <w:rsid w:val="003C62E4"/>
    <w:rsid w:val="003E5315"/>
    <w:rsid w:val="003E5B19"/>
    <w:rsid w:val="0043370C"/>
    <w:rsid w:val="00436E56"/>
    <w:rsid w:val="0044094C"/>
    <w:rsid w:val="00446425"/>
    <w:rsid w:val="004576F2"/>
    <w:rsid w:val="0047393B"/>
    <w:rsid w:val="00475493"/>
    <w:rsid w:val="004758D5"/>
    <w:rsid w:val="00486EC0"/>
    <w:rsid w:val="004965E2"/>
    <w:rsid w:val="004B04F1"/>
    <w:rsid w:val="004B7BC3"/>
    <w:rsid w:val="004E0466"/>
    <w:rsid w:val="004E04D5"/>
    <w:rsid w:val="004F00FA"/>
    <w:rsid w:val="00522B1D"/>
    <w:rsid w:val="0052778C"/>
    <w:rsid w:val="00532488"/>
    <w:rsid w:val="00532BA2"/>
    <w:rsid w:val="0053454E"/>
    <w:rsid w:val="00536E74"/>
    <w:rsid w:val="005444ED"/>
    <w:rsid w:val="0055395C"/>
    <w:rsid w:val="0057279E"/>
    <w:rsid w:val="00577280"/>
    <w:rsid w:val="0058282F"/>
    <w:rsid w:val="00590066"/>
    <w:rsid w:val="0059088B"/>
    <w:rsid w:val="005B3DA8"/>
    <w:rsid w:val="005B736C"/>
    <w:rsid w:val="005D0245"/>
    <w:rsid w:val="005D67AA"/>
    <w:rsid w:val="005F317E"/>
    <w:rsid w:val="005F69BF"/>
    <w:rsid w:val="006035BB"/>
    <w:rsid w:val="00611FAB"/>
    <w:rsid w:val="00613C70"/>
    <w:rsid w:val="006239A5"/>
    <w:rsid w:val="00627916"/>
    <w:rsid w:val="00630C23"/>
    <w:rsid w:val="00634382"/>
    <w:rsid w:val="006377E0"/>
    <w:rsid w:val="00644DEF"/>
    <w:rsid w:val="00662E83"/>
    <w:rsid w:val="00672286"/>
    <w:rsid w:val="0068669B"/>
    <w:rsid w:val="00690649"/>
    <w:rsid w:val="006C3013"/>
    <w:rsid w:val="006E283C"/>
    <w:rsid w:val="007112D1"/>
    <w:rsid w:val="0071686D"/>
    <w:rsid w:val="00724AAE"/>
    <w:rsid w:val="00732EF8"/>
    <w:rsid w:val="00744B5B"/>
    <w:rsid w:val="00745F7A"/>
    <w:rsid w:val="00747DC4"/>
    <w:rsid w:val="00760DED"/>
    <w:rsid w:val="00765B3F"/>
    <w:rsid w:val="007754D2"/>
    <w:rsid w:val="007808F7"/>
    <w:rsid w:val="0079050D"/>
    <w:rsid w:val="007C0869"/>
    <w:rsid w:val="007D1D3F"/>
    <w:rsid w:val="007D4313"/>
    <w:rsid w:val="00811C20"/>
    <w:rsid w:val="00823E78"/>
    <w:rsid w:val="008379C6"/>
    <w:rsid w:val="008516CD"/>
    <w:rsid w:val="0085578D"/>
    <w:rsid w:val="00865A61"/>
    <w:rsid w:val="00867799"/>
    <w:rsid w:val="00877387"/>
    <w:rsid w:val="008870A8"/>
    <w:rsid w:val="008A35D7"/>
    <w:rsid w:val="008B7D76"/>
    <w:rsid w:val="008C2AD6"/>
    <w:rsid w:val="008F2474"/>
    <w:rsid w:val="008F4823"/>
    <w:rsid w:val="00911529"/>
    <w:rsid w:val="00925BD5"/>
    <w:rsid w:val="00932FA1"/>
    <w:rsid w:val="0095013B"/>
    <w:rsid w:val="00954CD5"/>
    <w:rsid w:val="00976E76"/>
    <w:rsid w:val="009771D9"/>
    <w:rsid w:val="00977FA7"/>
    <w:rsid w:val="0098351F"/>
    <w:rsid w:val="00986D29"/>
    <w:rsid w:val="00990CD4"/>
    <w:rsid w:val="009912D6"/>
    <w:rsid w:val="00992CC5"/>
    <w:rsid w:val="009A192C"/>
    <w:rsid w:val="009A203B"/>
    <w:rsid w:val="009C546C"/>
    <w:rsid w:val="009D0F98"/>
    <w:rsid w:val="00A11729"/>
    <w:rsid w:val="00A16C24"/>
    <w:rsid w:val="00A33919"/>
    <w:rsid w:val="00A4074E"/>
    <w:rsid w:val="00A41EE5"/>
    <w:rsid w:val="00A52CF4"/>
    <w:rsid w:val="00A53B5F"/>
    <w:rsid w:val="00A5517D"/>
    <w:rsid w:val="00A7141C"/>
    <w:rsid w:val="00A83B94"/>
    <w:rsid w:val="00A83DA1"/>
    <w:rsid w:val="00AB1BC9"/>
    <w:rsid w:val="00AB38C7"/>
    <w:rsid w:val="00AD1673"/>
    <w:rsid w:val="00AE037A"/>
    <w:rsid w:val="00AE0585"/>
    <w:rsid w:val="00AE3C4E"/>
    <w:rsid w:val="00B05ADD"/>
    <w:rsid w:val="00B06243"/>
    <w:rsid w:val="00B12347"/>
    <w:rsid w:val="00B306C4"/>
    <w:rsid w:val="00B44F46"/>
    <w:rsid w:val="00B54663"/>
    <w:rsid w:val="00B61EBB"/>
    <w:rsid w:val="00B64A53"/>
    <w:rsid w:val="00B82D02"/>
    <w:rsid w:val="00B95483"/>
    <w:rsid w:val="00B96DC9"/>
    <w:rsid w:val="00BB466E"/>
    <w:rsid w:val="00BC210C"/>
    <w:rsid w:val="00BC5BC1"/>
    <w:rsid w:val="00BD40C9"/>
    <w:rsid w:val="00BF7990"/>
    <w:rsid w:val="00C05B97"/>
    <w:rsid w:val="00C071D0"/>
    <w:rsid w:val="00C07FF7"/>
    <w:rsid w:val="00C43B9F"/>
    <w:rsid w:val="00CA737A"/>
    <w:rsid w:val="00CD0D9A"/>
    <w:rsid w:val="00CD1D79"/>
    <w:rsid w:val="00CD24F7"/>
    <w:rsid w:val="00CF0287"/>
    <w:rsid w:val="00D03B80"/>
    <w:rsid w:val="00D14992"/>
    <w:rsid w:val="00D261CE"/>
    <w:rsid w:val="00D2628C"/>
    <w:rsid w:val="00D34764"/>
    <w:rsid w:val="00D44F6F"/>
    <w:rsid w:val="00D47B2C"/>
    <w:rsid w:val="00D47B87"/>
    <w:rsid w:val="00D562E0"/>
    <w:rsid w:val="00D75A42"/>
    <w:rsid w:val="00D86759"/>
    <w:rsid w:val="00D869AD"/>
    <w:rsid w:val="00D9338E"/>
    <w:rsid w:val="00DC2456"/>
    <w:rsid w:val="00DC3649"/>
    <w:rsid w:val="00DC3CE1"/>
    <w:rsid w:val="00DC5697"/>
    <w:rsid w:val="00DD424E"/>
    <w:rsid w:val="00DE7D51"/>
    <w:rsid w:val="00DF47EB"/>
    <w:rsid w:val="00DF4A85"/>
    <w:rsid w:val="00E01F1B"/>
    <w:rsid w:val="00E30926"/>
    <w:rsid w:val="00E32102"/>
    <w:rsid w:val="00E335AF"/>
    <w:rsid w:val="00E56836"/>
    <w:rsid w:val="00E80CEB"/>
    <w:rsid w:val="00E82093"/>
    <w:rsid w:val="00E843AA"/>
    <w:rsid w:val="00E940ED"/>
    <w:rsid w:val="00EA43B2"/>
    <w:rsid w:val="00EA7665"/>
    <w:rsid w:val="00ED0C8F"/>
    <w:rsid w:val="00EE0C70"/>
    <w:rsid w:val="00EF556C"/>
    <w:rsid w:val="00F06042"/>
    <w:rsid w:val="00F0651D"/>
    <w:rsid w:val="00F06580"/>
    <w:rsid w:val="00F416CA"/>
    <w:rsid w:val="00F51792"/>
    <w:rsid w:val="00F52541"/>
    <w:rsid w:val="00F570BC"/>
    <w:rsid w:val="00F82521"/>
    <w:rsid w:val="00F97BA7"/>
    <w:rsid w:val="00FA5864"/>
    <w:rsid w:val="00FC0AC7"/>
    <w:rsid w:val="00FF531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A7F079"/>
  <w14:defaultImageDpi w14:val="0"/>
  <w15:docId w15:val="{B5F98CF7-9EB9-45E4-879A-1F88011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474"/>
    <w:pPr>
      <w:spacing w:after="200" w:line="276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474"/>
    <w:pPr>
      <w:spacing w:after="0"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4DE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4D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44DE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44DEF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44D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2CC5"/>
    <w:rPr>
      <w:rFonts w:cs="Times New Roman"/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2CC5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6D2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86D29"/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865A61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65A61"/>
    <w:rPr>
      <w:rFonts w:cs="Times New Roman"/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4992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79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5B736C"/>
    <w:pPr>
      <w:spacing w:after="0" w:line="240" w:lineRule="auto"/>
    </w:pPr>
    <w:rPr>
      <w:rFonts w:ascii="Calibri" w:hAnsi="Calibri" w:cs="Calibri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9064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0F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tdeConnect" TargetMode="External"/><Relationship Id="rId18" Type="http://schemas.openxmlformats.org/officeDocument/2006/relationships/hyperlink" Target="http://www.epr-online.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tde-trans-data-elektronik-gmbh/" TargetMode="External"/><Relationship Id="rId17" Type="http://schemas.openxmlformats.org/officeDocument/2006/relationships/hyperlink" Target="mailto:fs@epr-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de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e.de/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tde.de" TargetMode="External"/><Relationship Id="rId10" Type="http://schemas.openxmlformats.org/officeDocument/2006/relationships/hyperlink" Target="https://www.tde.de/de/events-details/lanline-datacenter-symposium-in-muenchen.htm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xing.com/companies/tde-transdataelektronikgmbh/upd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2" ma:contentTypeDescription="Ein neues Dokument erstellen." ma:contentTypeScope="" ma:versionID="37dfb358ce2b7329c38c1838146fa26a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efbf6646494b3aacd1ffcbb92a09767f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68F19-7E5D-4987-8119-7DA39F6BC40E}"/>
</file>

<file path=customXml/itemProps2.xml><?xml version="1.0" encoding="utf-8"?>
<ds:datastoreItem xmlns:ds="http://schemas.openxmlformats.org/officeDocument/2006/customXml" ds:itemID="{45375378-6D4E-4BB2-BC4E-59B1044A7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36820-65BF-4AF6-8CD0-9C058377E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Schütz | epr - elsaesser public relations</dc:creator>
  <cp:lastModifiedBy>Elke Thiergärtner | epr - elsaesser public relations</cp:lastModifiedBy>
  <cp:revision>2</cp:revision>
  <dcterms:created xsi:type="dcterms:W3CDTF">2021-08-26T13:51:00Z</dcterms:created>
  <dcterms:modified xsi:type="dcterms:W3CDTF">2021-08-26T13:51:00Z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</Properties>
</file>