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33ED" w14:textId="77777777" w:rsidR="00986D29" w:rsidRDefault="00986D29" w:rsidP="00986D29">
      <w:pPr>
        <w:spacing w:line="360" w:lineRule="auto"/>
        <w:jc w:val="right"/>
        <w:rPr>
          <w:b/>
          <w:bCs/>
          <w:u w:val="single"/>
        </w:rPr>
      </w:pPr>
      <w:r w:rsidRPr="00DE7D51">
        <w:rPr>
          <w:rFonts w:ascii="Verdana" w:hAnsi="Verdana" w:cs="Verdana"/>
          <w:color w:val="808080"/>
          <w:sz w:val="20"/>
          <w:szCs w:val="20"/>
        </w:rPr>
        <w:t>Pressemitteilung</w:t>
      </w:r>
    </w:p>
    <w:p w14:paraId="160EF77E" w14:textId="77777777" w:rsidR="00030B21" w:rsidRDefault="00030B21" w:rsidP="00030B21">
      <w:pPr>
        <w:widowControl w:val="0"/>
        <w:autoSpaceDE w:val="0"/>
        <w:autoSpaceDN w:val="0"/>
        <w:adjustRightInd w:val="0"/>
        <w:ind w:right="-6"/>
        <w:rPr>
          <w:rFonts w:ascii="Calibri-Bold" w:hAnsi="Calibri-Bold" w:cs="Calibri-Bold"/>
          <w:b/>
          <w:bCs/>
          <w:u w:val="single"/>
        </w:rPr>
      </w:pPr>
      <w:r>
        <w:rPr>
          <w:rFonts w:ascii="Calibri-Bold" w:hAnsi="Calibri-Bold" w:cs="Calibri-Bold"/>
          <w:b/>
          <w:bCs/>
          <w:u w:val="single"/>
        </w:rPr>
        <w:t xml:space="preserve">Branchentreffen in Leipzig: </w:t>
      </w:r>
      <w:r w:rsidRPr="00563C43">
        <w:rPr>
          <w:rFonts w:ascii="Calibri-Bold" w:hAnsi="Calibri-Bold" w:cs="Calibri-Bold"/>
          <w:b/>
          <w:bCs/>
          <w:u w:val="single"/>
        </w:rPr>
        <w:t>24. Breitbandkongress des FRK 2021</w:t>
      </w:r>
    </w:p>
    <w:p w14:paraId="729DC2FC" w14:textId="1F7C699A" w:rsidR="00030B21" w:rsidRPr="00FE2E70" w:rsidRDefault="00030B21" w:rsidP="00030B21">
      <w:pPr>
        <w:widowControl w:val="0"/>
        <w:autoSpaceDE w:val="0"/>
        <w:autoSpaceDN w:val="0"/>
        <w:adjustRightInd w:val="0"/>
        <w:ind w:right="-6"/>
        <w:rPr>
          <w:rFonts w:ascii="Calibri-Bold" w:hAnsi="Calibri-Bold" w:cs="Calibri-Bold"/>
          <w:b/>
          <w:bCs/>
          <w:sz w:val="36"/>
          <w:szCs w:val="36"/>
        </w:rPr>
      </w:pPr>
      <w:r w:rsidRPr="00FE2E70">
        <w:rPr>
          <w:rFonts w:ascii="Calibri-Bold" w:hAnsi="Calibri-Bold" w:cs="Calibri-Bold"/>
          <w:b/>
          <w:bCs/>
          <w:sz w:val="36"/>
          <w:szCs w:val="36"/>
        </w:rPr>
        <w:t>Zeichen setzen für beschleunigten Glasfaserausbau</w:t>
      </w:r>
      <w:r>
        <w:rPr>
          <w:rFonts w:ascii="Calibri-Bold" w:hAnsi="Calibri-Bold" w:cs="Calibri-Bold"/>
          <w:b/>
          <w:bCs/>
          <w:sz w:val="36"/>
          <w:szCs w:val="36"/>
        </w:rPr>
        <w:t xml:space="preserve">: </w:t>
      </w:r>
      <w:proofErr w:type="spellStart"/>
      <w:r>
        <w:rPr>
          <w:rFonts w:ascii="Calibri-Bold" w:hAnsi="Calibri-Bold" w:cs="Calibri-Bold"/>
          <w:b/>
          <w:bCs/>
          <w:sz w:val="36"/>
          <w:szCs w:val="36"/>
        </w:rPr>
        <w:t>tde</w:t>
      </w:r>
      <w:proofErr w:type="spellEnd"/>
      <w:r>
        <w:rPr>
          <w:rFonts w:ascii="Calibri-Bold" w:hAnsi="Calibri-Bold" w:cs="Calibri-Bold"/>
          <w:b/>
          <w:bCs/>
          <w:sz w:val="36"/>
          <w:szCs w:val="36"/>
        </w:rPr>
        <w:t xml:space="preserve"> nimmt am </w:t>
      </w:r>
      <w:r w:rsidRPr="00DE46F0">
        <w:rPr>
          <w:rFonts w:ascii="Calibri-Bold" w:hAnsi="Calibri-Bold" w:cs="Calibri-Bold"/>
          <w:b/>
          <w:bCs/>
          <w:sz w:val="36"/>
          <w:szCs w:val="36"/>
        </w:rPr>
        <w:t>FRK-Breitbandkongress 2021 teil</w:t>
      </w:r>
    </w:p>
    <w:p w14:paraId="3454089C" w14:textId="56D7E642" w:rsidR="00030B21" w:rsidRDefault="00030B21" w:rsidP="00030B21">
      <w:pPr>
        <w:widowControl w:val="0"/>
        <w:autoSpaceDE w:val="0"/>
        <w:autoSpaceDN w:val="0"/>
        <w:adjustRightInd w:val="0"/>
        <w:spacing w:line="360" w:lineRule="auto"/>
        <w:ind w:right="-6"/>
        <w:rPr>
          <w:rFonts w:ascii="Arial" w:hAnsi="Arial" w:cs="Arial"/>
          <w:sz w:val="35"/>
          <w:szCs w:val="35"/>
        </w:rPr>
      </w:pPr>
      <w:r>
        <w:rPr>
          <w:rFonts w:ascii="Calibri-Bold" w:hAnsi="Calibri-Bold" w:cs="Calibri-Bold"/>
          <w:b/>
          <w:bCs/>
        </w:rPr>
        <w:t xml:space="preserve">Dortmund, </w:t>
      </w:r>
      <w:r w:rsidR="006C2520">
        <w:rPr>
          <w:rFonts w:ascii="Calibri-Bold" w:hAnsi="Calibri-Bold" w:cs="Calibri-Bold"/>
          <w:b/>
          <w:bCs/>
        </w:rPr>
        <w:t>12</w:t>
      </w:r>
      <w:r>
        <w:rPr>
          <w:rFonts w:ascii="Calibri-Bold" w:hAnsi="Calibri-Bold" w:cs="Calibri-Bold"/>
          <w:b/>
          <w:bCs/>
        </w:rPr>
        <w:t xml:space="preserve">. August 2021. </w:t>
      </w:r>
      <w:r w:rsidRPr="00DE46F0">
        <w:rPr>
          <w:rFonts w:ascii="Calibri-Bold" w:hAnsi="Calibri-Bold" w:cs="Calibri-Bold"/>
          <w:b/>
          <w:bCs/>
        </w:rPr>
        <w:t xml:space="preserve">Am 15. und 16. September treffen </w:t>
      </w:r>
      <w:r>
        <w:rPr>
          <w:rFonts w:ascii="Calibri-Bold" w:hAnsi="Calibri-Bold" w:cs="Calibri-Bold"/>
          <w:b/>
          <w:bCs/>
        </w:rPr>
        <w:t>sich führende Unternehmen</w:t>
      </w:r>
      <w:r w:rsidRPr="00DE46F0">
        <w:rPr>
          <w:rFonts w:ascii="Calibri-Bold" w:hAnsi="Calibri-Bold" w:cs="Calibri-Bold"/>
          <w:b/>
          <w:bCs/>
        </w:rPr>
        <w:t xml:space="preserve"> der Kabel- und Breitband</w:t>
      </w:r>
      <w:r>
        <w:rPr>
          <w:rFonts w:ascii="Calibri-Bold" w:hAnsi="Calibri-Bold" w:cs="Calibri-Bold"/>
          <w:b/>
          <w:bCs/>
        </w:rPr>
        <w:t>i</w:t>
      </w:r>
      <w:r w:rsidRPr="00DE46F0">
        <w:rPr>
          <w:rFonts w:ascii="Calibri-Bold" w:hAnsi="Calibri-Bold" w:cs="Calibri-Bold"/>
          <w:b/>
          <w:bCs/>
        </w:rPr>
        <w:t xml:space="preserve">ndustrie in Leipzig, um </w:t>
      </w:r>
      <w:r>
        <w:rPr>
          <w:rFonts w:ascii="Calibri-Bold" w:hAnsi="Calibri-Bold" w:cs="Calibri-Bold"/>
          <w:b/>
          <w:bCs/>
        </w:rPr>
        <w:t xml:space="preserve">über Trends, Entwicklungen und Perspektiven der Branche zu sprechen. Als Netzwerkexperte für modulare Verkabelungssysteme mit größter Packungsdichte nutzt die </w:t>
      </w:r>
      <w:proofErr w:type="spellStart"/>
      <w:r>
        <w:rPr>
          <w:rFonts w:ascii="Calibri-Bold" w:hAnsi="Calibri-Bold" w:cs="Calibri-Bold"/>
          <w:b/>
          <w:bCs/>
        </w:rPr>
        <w:t>tde</w:t>
      </w:r>
      <w:proofErr w:type="spellEnd"/>
      <w:r>
        <w:rPr>
          <w:rFonts w:ascii="Calibri-Bold" w:hAnsi="Calibri-Bold" w:cs="Calibri-Bold"/>
          <w:b/>
          <w:bCs/>
        </w:rPr>
        <w:t xml:space="preserve"> den 24. Breitbandkongress als Plattform für den fachlichen Austausch rund um den Ausbau des Glasfasernetzes in Deutschland. Die Veranstaltung wird getragen von m</w:t>
      </w:r>
      <w:r w:rsidRPr="00DC6F3C">
        <w:rPr>
          <w:rFonts w:ascii="Calibri-Bold" w:hAnsi="Calibri-Bold" w:cs="Calibri-Bold"/>
          <w:b/>
          <w:bCs/>
        </w:rPr>
        <w:t>ittelständischen Kabel- und Glasfasernetzbetreiber</w:t>
      </w:r>
      <w:r>
        <w:rPr>
          <w:rFonts w:ascii="Calibri-Bold" w:hAnsi="Calibri-Bold" w:cs="Calibri-Bold"/>
          <w:b/>
          <w:bCs/>
        </w:rPr>
        <w:t>n</w:t>
      </w:r>
      <w:r w:rsidRPr="00DC6F3C">
        <w:rPr>
          <w:rFonts w:ascii="Calibri-Bold" w:hAnsi="Calibri-Bold" w:cs="Calibri-Bold"/>
          <w:b/>
          <w:bCs/>
        </w:rPr>
        <w:t xml:space="preserve"> </w:t>
      </w:r>
      <w:r>
        <w:rPr>
          <w:rFonts w:ascii="Calibri-Bold" w:hAnsi="Calibri-Bold" w:cs="Calibri-Bold"/>
          <w:b/>
          <w:bCs/>
        </w:rPr>
        <w:t>sowie</w:t>
      </w:r>
      <w:r w:rsidRPr="00DC6F3C">
        <w:rPr>
          <w:rFonts w:ascii="Calibri-Bold" w:hAnsi="Calibri-Bold" w:cs="Calibri-Bold"/>
          <w:b/>
          <w:bCs/>
        </w:rPr>
        <w:t xml:space="preserve"> Dienstleiste</w:t>
      </w:r>
      <w:r>
        <w:rPr>
          <w:rFonts w:ascii="Calibri-Bold" w:hAnsi="Calibri-Bold" w:cs="Calibri-Bold"/>
          <w:b/>
          <w:bCs/>
        </w:rPr>
        <w:t>rn und dient als Impulsgeber für die Politik hinsichtlich der großflächigen Nutzung von 5G-Netzen.</w:t>
      </w:r>
    </w:p>
    <w:p w14:paraId="7ACB1207" w14:textId="2F514484" w:rsidR="00030B21" w:rsidRDefault="00030B21" w:rsidP="00030B21">
      <w:pPr>
        <w:widowControl w:val="0"/>
        <w:autoSpaceDE w:val="0"/>
        <w:autoSpaceDN w:val="0"/>
        <w:adjustRightInd w:val="0"/>
        <w:spacing w:line="360" w:lineRule="auto"/>
        <w:ind w:right="-6"/>
      </w:pPr>
      <w:r>
        <w:t xml:space="preserve">Ein Schwerpunkt des diesjährigen Breitbandkongresses liegt auf der Oligopolisierung im Kabelmarkt und deren Bedeutung für mittelständische Breitbandnetzbetreiber. Weitere Fokusthemen sind alle Aspekte rund um die flächendeckende Aufrüstung und den Ausbau von Gigabitnetzen sowie der Finanzierung aus eigener Hand und Optimierung der Fördermittel durch Privatinvestoren. Die </w:t>
      </w:r>
      <w:proofErr w:type="spellStart"/>
      <w:r>
        <w:t>tde</w:t>
      </w:r>
      <w:proofErr w:type="spellEnd"/>
      <w:r>
        <w:t xml:space="preserve"> sieht hier viele Anknüpfungspunkte und spannende Mehrwerte aus dem eigenen Produktportfolio, die das Vorantreiben der 5G-Technologie stützen und Umrüstung effizient und „Made in Germany“ fördern. „Als </w:t>
      </w:r>
      <w:r w:rsidRPr="00BA21A8">
        <w:t xml:space="preserve">Technologieführer in der Mehrfasertechnik liefern wir </w:t>
      </w:r>
      <w:r>
        <w:t>Plug-and-play-fähige</w:t>
      </w:r>
      <w:r w:rsidRPr="00BA21A8">
        <w:t xml:space="preserve"> Systemlösungen für High-Speed-Anwendungen</w:t>
      </w:r>
      <w:r>
        <w:t xml:space="preserve"> auch im </w:t>
      </w:r>
      <w:proofErr w:type="spellStart"/>
      <w:r>
        <w:t>FTTx</w:t>
      </w:r>
      <w:proofErr w:type="spellEnd"/>
      <w:r>
        <w:t xml:space="preserve">-Umfeld. Mit unserer </w:t>
      </w:r>
      <w:proofErr w:type="spellStart"/>
      <w:r>
        <w:t>skalierfähigen</w:t>
      </w:r>
      <w:proofErr w:type="spellEnd"/>
      <w:r>
        <w:t xml:space="preserve"> </w:t>
      </w:r>
      <w:proofErr w:type="spellStart"/>
      <w:r>
        <w:t>tML</w:t>
      </w:r>
      <w:proofErr w:type="spellEnd"/>
      <w:r>
        <w:t xml:space="preserve">-Systemplattform oder </w:t>
      </w:r>
      <w:r w:rsidR="00914954" w:rsidRPr="00F61C18">
        <w:t xml:space="preserve">unserer modularen Central-Office-Lösung </w:t>
      </w:r>
      <w:proofErr w:type="spellStart"/>
      <w:r w:rsidR="00914954" w:rsidRPr="00F61C18">
        <w:t>tDF</w:t>
      </w:r>
      <w:proofErr w:type="spellEnd"/>
      <w:r w:rsidR="00914954" w:rsidRPr="00F61C18">
        <w:t xml:space="preserve"> – </w:t>
      </w:r>
      <w:proofErr w:type="spellStart"/>
      <w:r w:rsidR="00914954" w:rsidRPr="00F61C18">
        <w:t>tde</w:t>
      </w:r>
      <w:proofErr w:type="spellEnd"/>
      <w:r w:rsidR="00914954" w:rsidRPr="00F61C18">
        <w:t xml:space="preserve"> Distribution Frame (ODF) </w:t>
      </w:r>
      <w:r w:rsidRPr="00F61C18">
        <w:t>ste</w:t>
      </w:r>
      <w:r>
        <w:t xml:space="preserve">hen </w:t>
      </w:r>
      <w:r w:rsidRPr="00F40E87">
        <w:t>Netzbetr</w:t>
      </w:r>
      <w:r>
        <w:t>e</w:t>
      </w:r>
      <w:r w:rsidRPr="00F40E87">
        <w:t>ibe</w:t>
      </w:r>
      <w:r>
        <w:t>r</w:t>
      </w:r>
      <w:r w:rsidRPr="00F40E87">
        <w:t>n</w:t>
      </w:r>
      <w:r w:rsidRPr="00BA21A8" w:rsidDel="007A6FE4">
        <w:t xml:space="preserve"> </w:t>
      </w:r>
      <w:r>
        <w:t>Lösungen zur Verfügung, mit denen sich äußerst platzsparende, flexible und packungseffiziente Highspeed-Verkabelungen sehr zeitsparend mit optimalem Preis-Leistungs-Verhältnis realisieren lassen. Zugleich sichern sie Hochverfügbarkeit und Ausfallsicherheit und bringen den Breitbandausbau so auf die digitale Überholspur</w:t>
      </w:r>
      <w:r w:rsidRPr="00BA21A8">
        <w:t xml:space="preserve">“, </w:t>
      </w:r>
      <w:r>
        <w:t xml:space="preserve">so André Engel, Geschäftsführer der </w:t>
      </w:r>
      <w:proofErr w:type="spellStart"/>
      <w:r>
        <w:t>tde</w:t>
      </w:r>
      <w:proofErr w:type="spellEnd"/>
      <w:r>
        <w:t xml:space="preserve">. „Für uns gibt es hier viele </w:t>
      </w:r>
      <w:r w:rsidR="000525B1">
        <w:t>Bereiche, in denen wir u</w:t>
      </w:r>
      <w:r>
        <w:t xml:space="preserve">nser Fachwissen und unsere Branchenkenntnis </w:t>
      </w:r>
      <w:r w:rsidR="000525B1">
        <w:t>einbringen können</w:t>
      </w:r>
      <w:r>
        <w:t>.“</w:t>
      </w:r>
    </w:p>
    <w:p w14:paraId="4870B303" w14:textId="63510E72" w:rsidR="00030B21" w:rsidRPr="00F24EB0" w:rsidRDefault="00030B21" w:rsidP="00030B21">
      <w:pPr>
        <w:widowControl w:val="0"/>
        <w:autoSpaceDE w:val="0"/>
        <w:autoSpaceDN w:val="0"/>
        <w:adjustRightInd w:val="0"/>
        <w:spacing w:line="360" w:lineRule="auto"/>
        <w:ind w:right="-6"/>
      </w:pPr>
      <w:r>
        <w:rPr>
          <w:rFonts w:ascii="Calibri-Italic" w:hAnsi="Calibri-Italic" w:cs="Calibri-Italic"/>
          <w:i/>
          <w:iCs/>
        </w:rPr>
        <w:t>Persönlicher Austausch auf Expertenebene</w:t>
      </w:r>
      <w:r>
        <w:rPr>
          <w:rFonts w:ascii="Calibri-Italic" w:hAnsi="Calibri-Italic" w:cs="Calibri-Italic"/>
          <w:i/>
          <w:iCs/>
        </w:rPr>
        <w:br/>
      </w:r>
      <w:r>
        <w:t xml:space="preserve">Die zweitägige Veranstaltung findet nach dem positiven Zuspruch und Erfolg im letzten Jahr erneut als Präsenzveranstaltung mit erprobtem Hygiene- und Sicherheitskonzept statt und ermöglicht so </w:t>
      </w:r>
      <w:r w:rsidRPr="00DE2A56">
        <w:t xml:space="preserve">Diskussion und Meinungsaustausch vor Ort. </w:t>
      </w:r>
      <w:r>
        <w:t xml:space="preserve">Auch die </w:t>
      </w:r>
      <w:proofErr w:type="spellStart"/>
      <w:r>
        <w:t>tde</w:t>
      </w:r>
      <w:proofErr w:type="spellEnd"/>
      <w:r>
        <w:t xml:space="preserve"> blickt positiv auf das Treffen:</w:t>
      </w:r>
      <w:r w:rsidRPr="00DE2A56">
        <w:t xml:space="preserve"> „Nach langer Zeit ohne Plattformen für </w:t>
      </w:r>
      <w:r>
        <w:t xml:space="preserve">den </w:t>
      </w:r>
      <w:r w:rsidRPr="00DE2A56">
        <w:t xml:space="preserve">direkten </w:t>
      </w:r>
      <w:r>
        <w:t>F</w:t>
      </w:r>
      <w:r w:rsidRPr="00DE2A56">
        <w:t>ace-</w:t>
      </w:r>
      <w:proofErr w:type="spellStart"/>
      <w:r w:rsidRPr="00DE2A56">
        <w:t>to</w:t>
      </w:r>
      <w:proofErr w:type="spellEnd"/>
      <w:r w:rsidRPr="00DE2A56">
        <w:t>-</w:t>
      </w:r>
      <w:r>
        <w:t>F</w:t>
      </w:r>
      <w:r w:rsidRPr="00DE2A56">
        <w:t>ace</w:t>
      </w:r>
      <w:r>
        <w:t>-</w:t>
      </w:r>
      <w:r w:rsidRPr="00DE2A56">
        <w:t xml:space="preserve">Austausch </w:t>
      </w:r>
      <w:r>
        <w:t xml:space="preserve">mit anderen Akteuren der Branche </w:t>
      </w:r>
      <w:r w:rsidRPr="00DE2A56">
        <w:lastRenderedPageBreak/>
        <w:t>freuen wir uns sehr</w:t>
      </w:r>
      <w:r>
        <w:t>,</w:t>
      </w:r>
      <w:r w:rsidRPr="00DE2A56">
        <w:t xml:space="preserve"> </w:t>
      </w:r>
      <w:r>
        <w:t xml:space="preserve">Teil des diesjährigen </w:t>
      </w:r>
      <w:r w:rsidRPr="00DE2A56">
        <w:t>Breitbandkongres</w:t>
      </w:r>
      <w:r>
        <w:t xml:space="preserve">ses zu sein“, so Engel. „Gerade interessante Fachgespräche mit Breitbandnetzbetreibern, Herstellern und Dienstleistern für Gigabit-Netze oder TV-Anbietern bilden für uns als Technologieexperten </w:t>
      </w:r>
      <w:r w:rsidR="000525B1">
        <w:t>oft die Basis für neue, zukunftsweisende Produktentwicklungen</w:t>
      </w:r>
      <w:r>
        <w:t xml:space="preserve">.“ </w:t>
      </w:r>
    </w:p>
    <w:p w14:paraId="088B399C" w14:textId="5F6A6DF4" w:rsidR="00030B21" w:rsidRDefault="00030B21" w:rsidP="006035BB"/>
    <w:p w14:paraId="25CB29D6" w14:textId="68AB593E" w:rsidR="00035EC2" w:rsidRPr="00563C43" w:rsidRDefault="006C2520" w:rsidP="00035EC2">
      <w:pPr>
        <w:widowControl w:val="0"/>
        <w:autoSpaceDE w:val="0"/>
        <w:autoSpaceDN w:val="0"/>
        <w:adjustRightInd w:val="0"/>
        <w:spacing w:after="0" w:line="360" w:lineRule="auto"/>
        <w:ind w:right="-6"/>
        <w:jc w:val="center"/>
        <w:rPr>
          <w:rFonts w:ascii="Calibri-Bold" w:hAnsi="Calibri-Bold" w:cs="Calibri-Bold"/>
          <w:b/>
          <w:bCs/>
          <w:u w:color="0563C1"/>
        </w:rPr>
      </w:pPr>
      <w:hyperlink r:id="rId10" w:tooltip="24. Breitbandkongresses des FRK (15.09.2021–16.09.2021)" w:history="1">
        <w:r w:rsidR="00035EC2" w:rsidRPr="00563C43">
          <w:rPr>
            <w:rFonts w:ascii="Calibri-Bold" w:hAnsi="Calibri-Bold" w:cs="Calibri-Bold"/>
            <w:b/>
            <w:bCs/>
            <w:u w:color="0563C1"/>
          </w:rPr>
          <w:t>24. Breitbandkongress des FRK</w:t>
        </w:r>
      </w:hyperlink>
    </w:p>
    <w:p w14:paraId="7E10B0F5" w14:textId="50D685D8" w:rsidR="00035EC2" w:rsidRDefault="00035EC2" w:rsidP="00035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right="-6"/>
        <w:jc w:val="center"/>
        <w:rPr>
          <w:rFonts w:ascii="Calibri-Bold" w:hAnsi="Calibri-Bold" w:cs="Calibri-Bold"/>
          <w:b/>
          <w:bCs/>
          <w:u w:color="0563C1"/>
        </w:rPr>
      </w:pPr>
      <w:r>
        <w:rPr>
          <w:rFonts w:ascii="Calibri-Bold" w:hAnsi="Calibri-Bold" w:cs="Calibri-Bold"/>
          <w:b/>
          <w:bCs/>
          <w:u w:color="0563C1"/>
        </w:rPr>
        <w:t>15. bis 16. September 2021</w:t>
      </w:r>
    </w:p>
    <w:p w14:paraId="6161AC60" w14:textId="77777777" w:rsidR="00035EC2" w:rsidRDefault="00035EC2" w:rsidP="00035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right="-6"/>
        <w:jc w:val="center"/>
      </w:pPr>
      <w:r w:rsidRPr="00563C43">
        <w:rPr>
          <w:rFonts w:ascii="Calibri-Bold" w:hAnsi="Calibri-Bold" w:cs="Calibri-Bold"/>
          <w:b/>
          <w:bCs/>
          <w:u w:color="0563C1"/>
        </w:rPr>
        <w:t>H4 Hotel in Leipzig, Paunsdorf</w:t>
      </w:r>
    </w:p>
    <w:p w14:paraId="7B1EC500" w14:textId="77777777" w:rsidR="00035EC2" w:rsidRDefault="00035EC2" w:rsidP="00035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right="-6"/>
        <w:jc w:val="center"/>
        <w:rPr>
          <w:rFonts w:ascii="Calibri-Bold" w:hAnsi="Calibri-Bold" w:cs="Calibri-Bold"/>
          <w:b/>
          <w:bCs/>
          <w:u w:color="0563C1"/>
        </w:rPr>
      </w:pPr>
      <w:proofErr w:type="spellStart"/>
      <w:r w:rsidRPr="00563C43">
        <w:rPr>
          <w:rFonts w:ascii="Calibri-Bold" w:hAnsi="Calibri-Bold" w:cs="Calibri-Bold"/>
          <w:b/>
          <w:bCs/>
          <w:u w:color="0563C1"/>
        </w:rPr>
        <w:t>Schongauerstraße</w:t>
      </w:r>
      <w:proofErr w:type="spellEnd"/>
      <w:r w:rsidRPr="00563C43">
        <w:rPr>
          <w:rFonts w:ascii="Calibri-Bold" w:hAnsi="Calibri-Bold" w:cs="Calibri-Bold"/>
          <w:b/>
          <w:bCs/>
          <w:u w:color="0563C1"/>
        </w:rPr>
        <w:t xml:space="preserve"> 39, 04329 Leipzig</w:t>
      </w:r>
    </w:p>
    <w:p w14:paraId="667880F1" w14:textId="77777777" w:rsidR="00035EC2" w:rsidRDefault="00035EC2" w:rsidP="00035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right="-6"/>
        <w:jc w:val="center"/>
        <w:rPr>
          <w:rFonts w:ascii="Calibri-Bold" w:hAnsi="Calibri-Bold" w:cs="Calibri-Bold"/>
          <w:b/>
          <w:bCs/>
          <w:u w:color="0563C1"/>
        </w:rPr>
      </w:pPr>
    </w:p>
    <w:p w14:paraId="37F785C7" w14:textId="77777777" w:rsidR="00035EC2" w:rsidRDefault="00035EC2" w:rsidP="00035EC2">
      <w:pPr>
        <w:widowControl w:val="0"/>
        <w:autoSpaceDE w:val="0"/>
        <w:autoSpaceDN w:val="0"/>
        <w:adjustRightInd w:val="0"/>
        <w:spacing w:after="0" w:line="360" w:lineRule="auto"/>
        <w:ind w:right="-6"/>
        <w:jc w:val="center"/>
        <w:rPr>
          <w:rFonts w:ascii="Tahoma" w:hAnsi="Tahoma" w:cs="Tahoma"/>
          <w:b/>
          <w:bCs/>
          <w:u w:color="0563C1"/>
        </w:rPr>
      </w:pPr>
      <w:r>
        <w:rPr>
          <w:rFonts w:ascii="Calibri-Bold" w:hAnsi="Calibri-Bold" w:cs="Calibri-Bold"/>
          <w:b/>
          <w:bCs/>
          <w:u w:color="0563C1"/>
        </w:rPr>
        <w:t>Weitere Informationen unter:</w:t>
      </w:r>
    </w:p>
    <w:p w14:paraId="2DD3F02C" w14:textId="77777777" w:rsidR="00035EC2" w:rsidRDefault="006C2520" w:rsidP="00035EC2">
      <w:pPr>
        <w:widowControl w:val="0"/>
        <w:autoSpaceDE w:val="0"/>
        <w:autoSpaceDN w:val="0"/>
        <w:adjustRightInd w:val="0"/>
        <w:spacing w:line="360" w:lineRule="auto"/>
        <w:ind w:right="-6"/>
        <w:jc w:val="center"/>
        <w:rPr>
          <w:sz w:val="24"/>
          <w:szCs w:val="24"/>
        </w:rPr>
      </w:pPr>
      <w:hyperlink r:id="rId11" w:history="1">
        <w:r w:rsidR="00035EC2" w:rsidRPr="002067C9">
          <w:rPr>
            <w:rStyle w:val="Hyperlink"/>
            <w:rFonts w:cs="Calibri"/>
            <w:sz w:val="24"/>
            <w:szCs w:val="24"/>
          </w:rPr>
          <w:t>https://www.tde.de/de/events-details/id-24-breitbandkongresses-des-frk.html</w:t>
        </w:r>
      </w:hyperlink>
    </w:p>
    <w:p w14:paraId="36B18966" w14:textId="77777777" w:rsidR="00035EC2" w:rsidRDefault="00035EC2" w:rsidP="00035EC2">
      <w:pPr>
        <w:widowControl w:val="0"/>
        <w:autoSpaceDE w:val="0"/>
        <w:autoSpaceDN w:val="0"/>
        <w:adjustRightInd w:val="0"/>
        <w:spacing w:after="0" w:line="360" w:lineRule="auto"/>
        <w:ind w:right="-6"/>
        <w:jc w:val="center"/>
        <w:rPr>
          <w:sz w:val="24"/>
          <w:szCs w:val="24"/>
        </w:rPr>
      </w:pPr>
      <w:r w:rsidRPr="00563C43">
        <w:rPr>
          <w:rFonts w:ascii="Calibri-Bold" w:hAnsi="Calibri-Bold" w:cs="Calibri-Bold"/>
          <w:b/>
          <w:bCs/>
          <w:u w:color="0563C1"/>
        </w:rPr>
        <w:t>Link zur Anmeldung</w:t>
      </w:r>
      <w:r w:rsidRPr="00563C43">
        <w:rPr>
          <w:b/>
          <w:bCs/>
          <w:sz w:val="24"/>
          <w:szCs w:val="24"/>
        </w:rPr>
        <w:t>:</w:t>
      </w:r>
      <w:r>
        <w:rPr>
          <w:sz w:val="24"/>
          <w:szCs w:val="24"/>
        </w:rPr>
        <w:t xml:space="preserve"> </w:t>
      </w:r>
    </w:p>
    <w:p w14:paraId="53F0D77C" w14:textId="77777777" w:rsidR="00035EC2" w:rsidRPr="00563C43" w:rsidRDefault="006C2520" w:rsidP="00035EC2">
      <w:pPr>
        <w:widowControl w:val="0"/>
        <w:autoSpaceDE w:val="0"/>
        <w:autoSpaceDN w:val="0"/>
        <w:adjustRightInd w:val="0"/>
        <w:spacing w:line="360" w:lineRule="auto"/>
        <w:ind w:right="-6"/>
        <w:jc w:val="center"/>
        <w:rPr>
          <w:sz w:val="24"/>
          <w:szCs w:val="24"/>
        </w:rPr>
      </w:pPr>
      <w:hyperlink r:id="rId12" w:history="1">
        <w:r w:rsidR="00035EC2" w:rsidRPr="002067C9">
          <w:rPr>
            <w:rStyle w:val="Hyperlink"/>
            <w:rFonts w:cs="Calibri"/>
            <w:sz w:val="24"/>
            <w:szCs w:val="24"/>
          </w:rPr>
          <w:t>https://www.breitbandkongress-frk.de/kongress/anmeldung</w:t>
        </w:r>
      </w:hyperlink>
    </w:p>
    <w:p w14:paraId="11091DDC" w14:textId="77777777" w:rsidR="00035EC2" w:rsidRDefault="00035EC2" w:rsidP="006035BB"/>
    <w:p w14:paraId="0E1AD231" w14:textId="43BB6E82" w:rsidR="00E843AA" w:rsidRDefault="009D0F98" w:rsidP="006035BB">
      <w:pPr>
        <w:rPr>
          <w:rStyle w:val="Hyperlink"/>
          <w:rFonts w:cs="Calibri"/>
        </w:rPr>
      </w:pPr>
      <w:r>
        <w:br/>
      </w:r>
      <w:r w:rsidR="00E843AA">
        <w:rPr>
          <w:rFonts w:cs="Verdana"/>
          <w:b/>
          <w:bCs/>
          <w:sz w:val="18"/>
          <w:szCs w:val="16"/>
        </w:rPr>
        <w:t xml:space="preserve">Über die </w:t>
      </w:r>
      <w:proofErr w:type="spellStart"/>
      <w:r w:rsidR="00E843AA">
        <w:rPr>
          <w:rFonts w:cs="Verdana"/>
          <w:b/>
          <w:bCs/>
          <w:sz w:val="18"/>
          <w:szCs w:val="16"/>
        </w:rPr>
        <w:t>tde</w:t>
      </w:r>
      <w:proofErr w:type="spellEnd"/>
      <w:r w:rsidR="00E843AA">
        <w:rPr>
          <w:rFonts w:cs="Verdana"/>
          <w:b/>
          <w:bCs/>
          <w:sz w:val="18"/>
          <w:szCs w:val="16"/>
        </w:rPr>
        <w:t xml:space="preserve"> – </w:t>
      </w:r>
      <w:proofErr w:type="spellStart"/>
      <w:r w:rsidR="00E843AA">
        <w:rPr>
          <w:rFonts w:cs="Verdana"/>
          <w:b/>
          <w:bCs/>
          <w:sz w:val="18"/>
          <w:szCs w:val="16"/>
        </w:rPr>
        <w:t>trans</w:t>
      </w:r>
      <w:proofErr w:type="spellEnd"/>
      <w:r w:rsidR="00E843AA">
        <w:rPr>
          <w:rFonts w:cs="Verdana"/>
          <w:b/>
          <w:bCs/>
          <w:sz w:val="18"/>
          <w:szCs w:val="16"/>
        </w:rPr>
        <w:t xml:space="preserve"> </w:t>
      </w:r>
      <w:proofErr w:type="spellStart"/>
      <w:r w:rsidR="00E843AA">
        <w:rPr>
          <w:rFonts w:cs="Verdana"/>
          <w:b/>
          <w:bCs/>
          <w:sz w:val="18"/>
          <w:szCs w:val="16"/>
        </w:rPr>
        <w:t>data</w:t>
      </w:r>
      <w:proofErr w:type="spellEnd"/>
      <w:r w:rsidR="00E843AA">
        <w:rPr>
          <w:rFonts w:cs="Verdana"/>
          <w:b/>
          <w:bCs/>
          <w:sz w:val="18"/>
          <w:szCs w:val="16"/>
        </w:rPr>
        <w:t xml:space="preserve"> </w:t>
      </w:r>
      <w:proofErr w:type="spellStart"/>
      <w:r w:rsidR="00E843AA">
        <w:rPr>
          <w:rFonts w:cs="Verdana"/>
          <w:b/>
          <w:bCs/>
          <w:sz w:val="18"/>
          <w:szCs w:val="16"/>
        </w:rPr>
        <w:t>elektronik</w:t>
      </w:r>
      <w:proofErr w:type="spellEnd"/>
      <w:r w:rsidR="00E843AA">
        <w:rPr>
          <w:rFonts w:cs="Verdana"/>
          <w:b/>
          <w:bCs/>
          <w:sz w:val="18"/>
          <w:szCs w:val="16"/>
        </w:rPr>
        <w:t xml:space="preserve"> GmbH</w:t>
      </w:r>
      <w:r w:rsidR="00E843AA">
        <w:rPr>
          <w:sz w:val="18"/>
          <w:szCs w:val="16"/>
        </w:rPr>
        <w:br/>
        <w:t xml:space="preserve">Als international erfolgreiches Unternehmen ist die </w:t>
      </w:r>
      <w:proofErr w:type="spellStart"/>
      <w:r w:rsidR="00E843AA">
        <w:rPr>
          <w:sz w:val="18"/>
          <w:szCs w:val="16"/>
        </w:rPr>
        <w:t>tde</w:t>
      </w:r>
      <w:proofErr w:type="spellEnd"/>
      <w:r w:rsidR="00E843AA">
        <w:rPr>
          <w:sz w:val="18"/>
          <w:szCs w:val="16"/>
        </w:rPr>
        <w:t xml:space="preserve"> – </w:t>
      </w:r>
      <w:proofErr w:type="spellStart"/>
      <w:r w:rsidR="00E843AA">
        <w:rPr>
          <w:sz w:val="18"/>
          <w:szCs w:val="16"/>
        </w:rPr>
        <w:t>trans</w:t>
      </w:r>
      <w:proofErr w:type="spellEnd"/>
      <w:r w:rsidR="00E843AA">
        <w:rPr>
          <w:sz w:val="18"/>
          <w:szCs w:val="16"/>
        </w:rPr>
        <w:t xml:space="preserve"> </w:t>
      </w:r>
      <w:proofErr w:type="spellStart"/>
      <w:r w:rsidR="00E843AA">
        <w:rPr>
          <w:sz w:val="18"/>
          <w:szCs w:val="16"/>
        </w:rPr>
        <w:t>data</w:t>
      </w:r>
      <w:proofErr w:type="spellEnd"/>
      <w:r w:rsidR="00E843AA">
        <w:rPr>
          <w:sz w:val="18"/>
          <w:szCs w:val="16"/>
        </w:rPr>
        <w:t xml:space="preserve"> </w:t>
      </w:r>
      <w:proofErr w:type="spellStart"/>
      <w:r w:rsidR="00E843AA">
        <w:rPr>
          <w:sz w:val="18"/>
          <w:szCs w:val="16"/>
        </w:rPr>
        <w:t>elektronik</w:t>
      </w:r>
      <w:proofErr w:type="spellEnd"/>
      <w:r w:rsidR="00E843AA">
        <w:rPr>
          <w:sz w:val="18"/>
          <w:szCs w:val="16"/>
        </w:rPr>
        <w:t xml:space="preserve"> GmbH seit </w:t>
      </w:r>
      <w:r w:rsidR="006E283C">
        <w:rPr>
          <w:sz w:val="18"/>
          <w:szCs w:val="16"/>
        </w:rPr>
        <w:t>30</w:t>
      </w:r>
      <w:r w:rsidR="00E843AA">
        <w:rPr>
          <w:sz w:val="18"/>
          <w:szCs w:val="16"/>
        </w:rPr>
        <w:t xml:space="preserve"> Jahren auf die Entwicklung und Herstellung skalierbarer Verkabelungssysteme für größte Packungsdichten spezialisiert. Auch das </w:t>
      </w:r>
      <w:r w:rsidR="00E843AA">
        <w:rPr>
          <w:rFonts w:cs="Cambria"/>
          <w:sz w:val="18"/>
          <w:szCs w:val="16"/>
        </w:rPr>
        <w:t xml:space="preserve">Kernforschungszentrum </w:t>
      </w:r>
      <w:r w:rsidR="00E843AA">
        <w:rPr>
          <w:bCs/>
          <w:color w:val="000000"/>
          <w:sz w:val="18"/>
          <w:szCs w:val="16"/>
          <w:shd w:val="clear" w:color="auto" w:fill="FFFFFF"/>
        </w:rPr>
        <w:t>CERN vertraut auf das Know-how des Technologieführers in der</w:t>
      </w:r>
      <w:r w:rsidR="00E843AA">
        <w:rPr>
          <w:sz w:val="18"/>
          <w:szCs w:val="16"/>
        </w:rPr>
        <w:t xml:space="preserve"> Mehrfasertechnik (MPO)</w:t>
      </w:r>
      <w:r w:rsidR="00E843AA">
        <w:rPr>
          <w:color w:val="000000"/>
          <w:sz w:val="18"/>
          <w:szCs w:val="16"/>
        </w:rPr>
        <w:t xml:space="preserve">. </w:t>
      </w:r>
      <w:r w:rsidR="000B2741">
        <w:rPr>
          <w:color w:val="000000"/>
          <w:sz w:val="18"/>
          <w:szCs w:val="16"/>
        </w:rPr>
        <w:br/>
      </w:r>
      <w:r w:rsidR="00E843AA">
        <w:rPr>
          <w:color w:val="000000"/>
          <w:sz w:val="18"/>
          <w:szCs w:val="16"/>
        </w:rPr>
        <w:t xml:space="preserve">Das Portfolio </w:t>
      </w:r>
      <w:r w:rsidR="00E843AA">
        <w:rPr>
          <w:sz w:val="18"/>
          <w:szCs w:val="16"/>
        </w:rPr>
        <w:t xml:space="preserve">„Made in Germany“ </w:t>
      </w:r>
      <w:r w:rsidR="00E843AA">
        <w:rPr>
          <w:color w:val="000000"/>
          <w:sz w:val="18"/>
          <w:szCs w:val="16"/>
        </w:rPr>
        <w:t>umfasst komplette Systemlösungen mit Schwerpunkt Plug-and-play</w:t>
      </w:r>
      <w:r w:rsidR="00E843AA">
        <w:rPr>
          <w:sz w:val="18"/>
          <w:szCs w:val="16"/>
        </w:rPr>
        <w:t xml:space="preserve"> für High-Speed-Anwendungen im Bereich Datacom, Telecom, Industry, Medical und Defence. </w:t>
      </w:r>
      <w:proofErr w:type="spellStart"/>
      <w:r w:rsidR="00E843AA">
        <w:rPr>
          <w:sz w:val="18"/>
          <w:szCs w:val="16"/>
        </w:rPr>
        <w:t>tde</w:t>
      </w:r>
      <w:proofErr w:type="spellEnd"/>
      <w:r w:rsidR="00E843AA">
        <w:rPr>
          <w:sz w:val="18"/>
          <w:szCs w:val="16"/>
        </w:rPr>
        <w:t xml:space="preserve"> bietet mit einer eigenen Service-Abteilung Planungs- und Installationsleistungen aus einer Hand und unterstützt den „European Code </w:t>
      </w:r>
      <w:proofErr w:type="spellStart"/>
      <w:r w:rsidR="00E843AA">
        <w:rPr>
          <w:sz w:val="18"/>
          <w:szCs w:val="16"/>
        </w:rPr>
        <w:t>of</w:t>
      </w:r>
      <w:proofErr w:type="spellEnd"/>
      <w:r w:rsidR="00E843AA">
        <w:rPr>
          <w:sz w:val="18"/>
          <w:szCs w:val="16"/>
        </w:rPr>
        <w:t xml:space="preserve"> Conduct“ für Energieeffizienz in Rechenzentren. </w:t>
      </w:r>
      <w:r w:rsidR="004576F2">
        <w:rPr>
          <w:sz w:val="18"/>
          <w:szCs w:val="16"/>
        </w:rPr>
        <w:t xml:space="preserve">Mehr unter: </w:t>
      </w:r>
      <w:hyperlink r:id="rId13" w:history="1">
        <w:r w:rsidR="004576F2">
          <w:rPr>
            <w:rStyle w:val="Hyperlink"/>
            <w:rFonts w:cs="Calibri"/>
            <w:sz w:val="18"/>
          </w:rPr>
          <w:t>www.tde.de</w:t>
        </w:r>
      </w:hyperlink>
      <w:r w:rsidR="004576F2">
        <w:rPr>
          <w:rStyle w:val="Hyperlink"/>
          <w:rFonts w:cs="Calibri"/>
          <w:sz w:val="18"/>
        </w:rPr>
        <w:t xml:space="preserve"> </w:t>
      </w:r>
      <w:r w:rsidR="004576F2" w:rsidRPr="008379C6">
        <w:rPr>
          <w:sz w:val="18"/>
          <w:szCs w:val="16"/>
        </w:rPr>
        <w:t xml:space="preserve">sowie auf </w:t>
      </w:r>
      <w:hyperlink r:id="rId14" w:history="1">
        <w:r w:rsidR="004576F2" w:rsidRPr="008379C6">
          <w:rPr>
            <w:rStyle w:val="Hyperlink"/>
            <w:rFonts w:cs="Calibri"/>
            <w:sz w:val="18"/>
            <w:szCs w:val="16"/>
          </w:rPr>
          <w:t>LinkedIn</w:t>
        </w:r>
      </w:hyperlink>
      <w:r w:rsidR="004576F2" w:rsidRPr="008379C6">
        <w:rPr>
          <w:sz w:val="18"/>
          <w:szCs w:val="16"/>
        </w:rPr>
        <w:t xml:space="preserve">, </w:t>
      </w:r>
      <w:hyperlink r:id="rId15" w:history="1">
        <w:r w:rsidR="004576F2" w:rsidRPr="008379C6">
          <w:rPr>
            <w:rStyle w:val="Hyperlink"/>
            <w:rFonts w:cs="Calibri"/>
            <w:sz w:val="18"/>
            <w:szCs w:val="16"/>
          </w:rPr>
          <w:t>Twitter</w:t>
        </w:r>
      </w:hyperlink>
      <w:r w:rsidR="004576F2" w:rsidRPr="008379C6">
        <w:rPr>
          <w:sz w:val="18"/>
          <w:szCs w:val="16"/>
        </w:rPr>
        <w:t xml:space="preserve"> und </w:t>
      </w:r>
      <w:hyperlink r:id="rId16" w:history="1">
        <w:r w:rsidR="004576F2" w:rsidRPr="000C77E9">
          <w:rPr>
            <w:rStyle w:val="Hyperlink"/>
            <w:rFonts w:cs="Calibri"/>
            <w:sz w:val="18"/>
            <w:szCs w:val="16"/>
          </w:rPr>
          <w:t>Xing</w:t>
        </w:r>
      </w:hyperlink>
      <w:r w:rsidR="004576F2" w:rsidRPr="008379C6">
        <w:rPr>
          <w:sz w:val="18"/>
          <w:szCs w:val="16"/>
        </w:rPr>
        <w:t xml:space="preserve">. </w:t>
      </w:r>
      <w:r w:rsidR="004576F2">
        <w:rPr>
          <w:sz w:val="18"/>
          <w:szCs w:val="16"/>
        </w:rPr>
        <w:br/>
      </w:r>
      <w:r w:rsidR="004576F2">
        <w:rPr>
          <w:sz w:val="18"/>
          <w:szCs w:val="16"/>
        </w:rPr>
        <w:br/>
      </w:r>
      <w:r w:rsidR="00E843AA">
        <w:rPr>
          <w:rFonts w:cs="Verdana"/>
          <w:b/>
          <w:bCs/>
          <w:sz w:val="18"/>
          <w:szCs w:val="16"/>
        </w:rPr>
        <w:t>Unternehmenskontakt</w:t>
      </w:r>
      <w:r w:rsidR="00E843AA">
        <w:rPr>
          <w:rFonts w:cs="Verdana"/>
          <w:b/>
          <w:bCs/>
          <w:sz w:val="18"/>
          <w:szCs w:val="16"/>
        </w:rPr>
        <w:br/>
      </w:r>
      <w:proofErr w:type="spellStart"/>
      <w:r w:rsidR="00E843AA">
        <w:rPr>
          <w:sz w:val="18"/>
          <w:szCs w:val="16"/>
        </w:rPr>
        <w:t>tde</w:t>
      </w:r>
      <w:proofErr w:type="spellEnd"/>
      <w:r w:rsidR="00E843AA">
        <w:rPr>
          <w:sz w:val="18"/>
          <w:szCs w:val="16"/>
        </w:rPr>
        <w:t xml:space="preserve"> – </w:t>
      </w:r>
      <w:proofErr w:type="spellStart"/>
      <w:r w:rsidR="00E843AA">
        <w:rPr>
          <w:sz w:val="18"/>
          <w:szCs w:val="16"/>
        </w:rPr>
        <w:t>trans</w:t>
      </w:r>
      <w:proofErr w:type="spellEnd"/>
      <w:r w:rsidR="00E843AA">
        <w:rPr>
          <w:sz w:val="18"/>
          <w:szCs w:val="16"/>
        </w:rPr>
        <w:t xml:space="preserve"> </w:t>
      </w:r>
      <w:proofErr w:type="spellStart"/>
      <w:r w:rsidR="00E843AA">
        <w:rPr>
          <w:sz w:val="18"/>
          <w:szCs w:val="16"/>
        </w:rPr>
        <w:t>data</w:t>
      </w:r>
      <w:proofErr w:type="spellEnd"/>
      <w:r w:rsidR="00E843AA">
        <w:rPr>
          <w:sz w:val="18"/>
          <w:szCs w:val="16"/>
        </w:rPr>
        <w:t xml:space="preserve"> </w:t>
      </w:r>
      <w:proofErr w:type="spellStart"/>
      <w:r w:rsidR="00E843AA">
        <w:rPr>
          <w:sz w:val="18"/>
          <w:szCs w:val="16"/>
        </w:rPr>
        <w:t>elektronik</w:t>
      </w:r>
      <w:proofErr w:type="spellEnd"/>
      <w:r w:rsidR="00E843AA">
        <w:rPr>
          <w:sz w:val="18"/>
          <w:szCs w:val="16"/>
        </w:rPr>
        <w:t xml:space="preserve"> GmbH, Vertriebsbüro Dortmund</w:t>
      </w:r>
      <w:r w:rsidR="00E843AA">
        <w:rPr>
          <w:sz w:val="18"/>
          <w:szCs w:val="16"/>
        </w:rPr>
        <w:br/>
        <w:t>André Engel, Prinz-Friedrich-Karl-Str. 46, D - 44135 Dortmund</w:t>
      </w:r>
      <w:r w:rsidR="00E843AA">
        <w:rPr>
          <w:sz w:val="18"/>
          <w:szCs w:val="16"/>
        </w:rPr>
        <w:br/>
        <w:t xml:space="preserve">Tel. +49 231 160480, Fax +49 231 160933, </w:t>
      </w:r>
      <w:hyperlink r:id="rId17" w:history="1">
        <w:r w:rsidR="00E843AA">
          <w:rPr>
            <w:rStyle w:val="Hyperlink"/>
            <w:rFonts w:cs="Calibri"/>
            <w:sz w:val="18"/>
          </w:rPr>
          <w:t>info@tde.de</w:t>
        </w:r>
      </w:hyperlink>
      <w:r w:rsidR="00E843AA">
        <w:rPr>
          <w:sz w:val="18"/>
          <w:szCs w:val="16"/>
        </w:rPr>
        <w:t xml:space="preserve">, </w:t>
      </w:r>
      <w:hyperlink r:id="rId18" w:history="1">
        <w:r w:rsidR="00E843AA">
          <w:rPr>
            <w:rStyle w:val="Hyperlink"/>
            <w:rFonts w:cs="Calibri"/>
            <w:sz w:val="18"/>
          </w:rPr>
          <w:t>www.tde.de</w:t>
        </w:r>
      </w:hyperlink>
    </w:p>
    <w:p w14:paraId="35FE543A" w14:textId="77777777" w:rsidR="00E843AA" w:rsidRDefault="00E843AA" w:rsidP="00E843AA">
      <w:pPr>
        <w:spacing w:after="0"/>
        <w:jc w:val="both"/>
      </w:pPr>
      <w:r>
        <w:rPr>
          <w:rFonts w:cs="Verdana"/>
          <w:b/>
          <w:bCs/>
          <w:sz w:val="18"/>
          <w:szCs w:val="16"/>
        </w:rPr>
        <w:t>Pressekontakt</w:t>
      </w:r>
      <w:r>
        <w:rPr>
          <w:rFonts w:cs="Verdana"/>
          <w:b/>
          <w:bCs/>
          <w:sz w:val="18"/>
          <w:szCs w:val="16"/>
        </w:rPr>
        <w:br/>
      </w:r>
      <w:r>
        <w:rPr>
          <w:sz w:val="18"/>
          <w:szCs w:val="16"/>
        </w:rPr>
        <w:t>epr – elsaesser public relations, Maximilianstraße 50, D - 86150 Augsburg</w:t>
      </w:r>
    </w:p>
    <w:p w14:paraId="78F21846" w14:textId="77777777" w:rsidR="00E843AA" w:rsidRDefault="00E843AA" w:rsidP="00E843AA">
      <w:pPr>
        <w:spacing w:after="0"/>
        <w:jc w:val="both"/>
      </w:pPr>
      <w:r>
        <w:rPr>
          <w:sz w:val="18"/>
          <w:szCs w:val="16"/>
        </w:rPr>
        <w:t xml:space="preserve">Frauke Schütz, Tel: +49 821 4508 7916, </w:t>
      </w:r>
      <w:hyperlink r:id="rId19" w:history="1">
        <w:r>
          <w:rPr>
            <w:rStyle w:val="Hyperlink"/>
            <w:rFonts w:cs="Calibri"/>
            <w:sz w:val="18"/>
          </w:rPr>
          <w:t>fs@epr-online.de</w:t>
        </w:r>
      </w:hyperlink>
    </w:p>
    <w:p w14:paraId="7A9A2226" w14:textId="31E63E27" w:rsidR="00E843AA" w:rsidRPr="00B06243" w:rsidRDefault="00C05B97" w:rsidP="00E843AA">
      <w:pPr>
        <w:spacing w:after="0"/>
        <w:jc w:val="both"/>
        <w:rPr>
          <w:sz w:val="18"/>
          <w:lang w:val="nl-NL"/>
        </w:rPr>
      </w:pPr>
      <w:r w:rsidRPr="00B06243">
        <w:rPr>
          <w:sz w:val="18"/>
          <w:szCs w:val="16"/>
          <w:lang w:val="nl-NL"/>
        </w:rPr>
        <w:t>Elke Thiergärtner</w:t>
      </w:r>
      <w:r w:rsidR="00E843AA" w:rsidRPr="00B06243">
        <w:rPr>
          <w:sz w:val="18"/>
          <w:szCs w:val="16"/>
          <w:lang w:val="nl-NL"/>
        </w:rPr>
        <w:t>, Tel: +49 821 4508 791</w:t>
      </w:r>
      <w:r w:rsidRPr="00B06243">
        <w:rPr>
          <w:sz w:val="18"/>
          <w:szCs w:val="16"/>
          <w:lang w:val="nl-NL"/>
        </w:rPr>
        <w:t>2</w:t>
      </w:r>
      <w:r w:rsidR="00E843AA" w:rsidRPr="00B06243">
        <w:rPr>
          <w:sz w:val="18"/>
          <w:szCs w:val="16"/>
          <w:lang w:val="nl-NL"/>
        </w:rPr>
        <w:t>,</w:t>
      </w:r>
      <w:r w:rsidR="00E843AA" w:rsidRPr="00B06243">
        <w:rPr>
          <w:b/>
          <w:sz w:val="18"/>
          <w:szCs w:val="16"/>
          <w:lang w:val="nl-NL"/>
        </w:rPr>
        <w:t xml:space="preserve"> </w:t>
      </w:r>
      <w:r w:rsidR="009D0F98" w:rsidRPr="00C071D0">
        <w:rPr>
          <w:rStyle w:val="Hyperlink"/>
          <w:rFonts w:cs="Calibri"/>
          <w:sz w:val="18"/>
          <w:lang w:val="nl-NL"/>
        </w:rPr>
        <w:t>et@epr-online.de</w:t>
      </w:r>
    </w:p>
    <w:p w14:paraId="571108C1" w14:textId="1C9D2D74" w:rsidR="00E843AA" w:rsidRPr="00E843AA" w:rsidRDefault="006C2520" w:rsidP="001A7106">
      <w:pPr>
        <w:spacing w:after="0"/>
        <w:jc w:val="both"/>
        <w:rPr>
          <w:rFonts w:cs="Verdana"/>
          <w:sz w:val="18"/>
          <w:szCs w:val="16"/>
        </w:rPr>
      </w:pPr>
      <w:hyperlink r:id="rId20" w:history="1">
        <w:r w:rsidR="00690649" w:rsidRPr="009663BF">
          <w:rPr>
            <w:rStyle w:val="Hyperlink"/>
            <w:rFonts w:cs="Calibri"/>
            <w:sz w:val="18"/>
          </w:rPr>
          <w:t>www.epr-online.de</w:t>
        </w:r>
      </w:hyperlink>
      <w:r w:rsidR="001A7106" w:rsidRPr="00E843AA">
        <w:rPr>
          <w:rFonts w:cs="Verdana"/>
          <w:sz w:val="18"/>
          <w:szCs w:val="16"/>
        </w:rPr>
        <w:t xml:space="preserve"> </w:t>
      </w:r>
    </w:p>
    <w:sectPr w:rsidR="00E843AA" w:rsidRPr="00E843AA" w:rsidSect="006035BB">
      <w:headerReference w:type="default" r:id="rId2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F228" w14:textId="77777777" w:rsidR="009A192C" w:rsidRDefault="009A192C" w:rsidP="00986D29">
      <w:pPr>
        <w:spacing w:after="0" w:line="240" w:lineRule="auto"/>
      </w:pPr>
      <w:r>
        <w:separator/>
      </w:r>
    </w:p>
  </w:endnote>
  <w:endnote w:type="continuationSeparator" w:id="0">
    <w:p w14:paraId="5C0AC163" w14:textId="77777777" w:rsidR="009A192C" w:rsidRDefault="009A192C" w:rsidP="00986D29">
      <w:pPr>
        <w:spacing w:after="0" w:line="240" w:lineRule="auto"/>
      </w:pPr>
      <w:r>
        <w:continuationSeparator/>
      </w:r>
    </w:p>
  </w:endnote>
  <w:endnote w:type="continuationNotice" w:id="1">
    <w:p w14:paraId="45E05876" w14:textId="77777777" w:rsidR="009A192C" w:rsidRDefault="009A1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EA7D" w14:textId="77777777" w:rsidR="009A192C" w:rsidRDefault="009A192C" w:rsidP="00986D29">
      <w:pPr>
        <w:spacing w:after="0" w:line="240" w:lineRule="auto"/>
      </w:pPr>
      <w:r>
        <w:separator/>
      </w:r>
    </w:p>
  </w:footnote>
  <w:footnote w:type="continuationSeparator" w:id="0">
    <w:p w14:paraId="34F0CAB4" w14:textId="77777777" w:rsidR="009A192C" w:rsidRDefault="009A192C" w:rsidP="00986D29">
      <w:pPr>
        <w:spacing w:after="0" w:line="240" w:lineRule="auto"/>
      </w:pPr>
      <w:r>
        <w:continuationSeparator/>
      </w:r>
    </w:p>
  </w:footnote>
  <w:footnote w:type="continuationNotice" w:id="1">
    <w:p w14:paraId="6E4C4763" w14:textId="77777777" w:rsidR="009A192C" w:rsidRDefault="009A1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59F0" w14:textId="77777777" w:rsidR="00C05B97" w:rsidRDefault="00C05B97" w:rsidP="00986D29">
    <w:pPr>
      <w:pStyle w:val="Kopfzeile"/>
      <w:jc w:val="right"/>
      <w:rPr>
        <w:rFonts w:ascii="Verdana" w:hAnsi="Verdana" w:cs="Verdana"/>
        <w:color w:val="808080"/>
        <w:sz w:val="20"/>
        <w:szCs w:val="20"/>
      </w:rPr>
    </w:pPr>
    <w:r>
      <w:rPr>
        <w:noProof/>
        <w:lang w:eastAsia="de-DE"/>
      </w:rPr>
      <w:drawing>
        <wp:anchor distT="0" distB="0" distL="114300" distR="114300" simplePos="0" relativeHeight="251658240" behindDoc="1" locked="0" layoutInCell="1" allowOverlap="1" wp14:anchorId="0C8893C5" wp14:editId="6E99951A">
          <wp:simplePos x="0" y="0"/>
          <wp:positionH relativeFrom="column">
            <wp:posOffset>4743450</wp:posOffset>
          </wp:positionH>
          <wp:positionV relativeFrom="paragraph">
            <wp:posOffset>-40640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126C7" w14:textId="77777777" w:rsidR="00C05B97" w:rsidRDefault="00C05B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9BD"/>
    <w:multiLevelType w:val="hybridMultilevel"/>
    <w:tmpl w:val="FEB63B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94A6A96"/>
    <w:multiLevelType w:val="hybridMultilevel"/>
    <w:tmpl w:val="958A789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74"/>
    <w:rsid w:val="00003B1E"/>
    <w:rsid w:val="00017639"/>
    <w:rsid w:val="00030B21"/>
    <w:rsid w:val="00035EC2"/>
    <w:rsid w:val="000366E5"/>
    <w:rsid w:val="0003707D"/>
    <w:rsid w:val="000525B1"/>
    <w:rsid w:val="00065834"/>
    <w:rsid w:val="0006608B"/>
    <w:rsid w:val="0007097A"/>
    <w:rsid w:val="00073613"/>
    <w:rsid w:val="00073D55"/>
    <w:rsid w:val="00077430"/>
    <w:rsid w:val="000B2741"/>
    <w:rsid w:val="000C10F8"/>
    <w:rsid w:val="000C6D28"/>
    <w:rsid w:val="000C77E9"/>
    <w:rsid w:val="000D16EF"/>
    <w:rsid w:val="000D32DF"/>
    <w:rsid w:val="000D74AC"/>
    <w:rsid w:val="000E6175"/>
    <w:rsid w:val="000E6DE9"/>
    <w:rsid w:val="000F463B"/>
    <w:rsid w:val="000F5782"/>
    <w:rsid w:val="00110F46"/>
    <w:rsid w:val="00131840"/>
    <w:rsid w:val="00146E07"/>
    <w:rsid w:val="00147BEF"/>
    <w:rsid w:val="00170E62"/>
    <w:rsid w:val="00193369"/>
    <w:rsid w:val="001A10B1"/>
    <w:rsid w:val="001A7106"/>
    <w:rsid w:val="001B360D"/>
    <w:rsid w:val="001B3B75"/>
    <w:rsid w:val="001B5BD4"/>
    <w:rsid w:val="001B6319"/>
    <w:rsid w:val="001D4F8C"/>
    <w:rsid w:val="002172D4"/>
    <w:rsid w:val="0021799B"/>
    <w:rsid w:val="00227D9A"/>
    <w:rsid w:val="00243617"/>
    <w:rsid w:val="00272182"/>
    <w:rsid w:val="00276E7B"/>
    <w:rsid w:val="00283F45"/>
    <w:rsid w:val="00285498"/>
    <w:rsid w:val="00285FE7"/>
    <w:rsid w:val="002A2413"/>
    <w:rsid w:val="002A73F2"/>
    <w:rsid w:val="002A7D64"/>
    <w:rsid w:val="002B030F"/>
    <w:rsid w:val="002B2E40"/>
    <w:rsid w:val="002C5DA3"/>
    <w:rsid w:val="002C7B0F"/>
    <w:rsid w:val="002E63EC"/>
    <w:rsid w:val="00303A9C"/>
    <w:rsid w:val="00307055"/>
    <w:rsid w:val="003102BD"/>
    <w:rsid w:val="00332786"/>
    <w:rsid w:val="003413BC"/>
    <w:rsid w:val="00346ACB"/>
    <w:rsid w:val="0036650E"/>
    <w:rsid w:val="00373792"/>
    <w:rsid w:val="003749B0"/>
    <w:rsid w:val="003869C6"/>
    <w:rsid w:val="003B28E2"/>
    <w:rsid w:val="003C62E4"/>
    <w:rsid w:val="003E5B19"/>
    <w:rsid w:val="0043370C"/>
    <w:rsid w:val="0044094C"/>
    <w:rsid w:val="00446425"/>
    <w:rsid w:val="004576F2"/>
    <w:rsid w:val="0047393B"/>
    <w:rsid w:val="00475493"/>
    <w:rsid w:val="004758D5"/>
    <w:rsid w:val="00486EC0"/>
    <w:rsid w:val="004B7BC3"/>
    <w:rsid w:val="004E0466"/>
    <w:rsid w:val="004E04D5"/>
    <w:rsid w:val="004F00FA"/>
    <w:rsid w:val="00522B1D"/>
    <w:rsid w:val="0052778C"/>
    <w:rsid w:val="00532BA2"/>
    <w:rsid w:val="0053454E"/>
    <w:rsid w:val="00536E74"/>
    <w:rsid w:val="005444ED"/>
    <w:rsid w:val="0055395C"/>
    <w:rsid w:val="0057279E"/>
    <w:rsid w:val="0058282F"/>
    <w:rsid w:val="00590066"/>
    <w:rsid w:val="0059088B"/>
    <w:rsid w:val="005B736C"/>
    <w:rsid w:val="005D0245"/>
    <w:rsid w:val="005D67AA"/>
    <w:rsid w:val="005F317E"/>
    <w:rsid w:val="005F69BF"/>
    <w:rsid w:val="006035BB"/>
    <w:rsid w:val="00611FAB"/>
    <w:rsid w:val="00613C70"/>
    <w:rsid w:val="006239A5"/>
    <w:rsid w:val="00627916"/>
    <w:rsid w:val="00630C23"/>
    <w:rsid w:val="006377E0"/>
    <w:rsid w:val="00644DEF"/>
    <w:rsid w:val="00662E83"/>
    <w:rsid w:val="00672286"/>
    <w:rsid w:val="0068669B"/>
    <w:rsid w:val="00690649"/>
    <w:rsid w:val="006C2520"/>
    <w:rsid w:val="006C3013"/>
    <w:rsid w:val="006E283C"/>
    <w:rsid w:val="007112D1"/>
    <w:rsid w:val="0071686D"/>
    <w:rsid w:val="00724AAE"/>
    <w:rsid w:val="00744B5B"/>
    <w:rsid w:val="00745F7A"/>
    <w:rsid w:val="00765B3F"/>
    <w:rsid w:val="007754D2"/>
    <w:rsid w:val="007808F7"/>
    <w:rsid w:val="0079050D"/>
    <w:rsid w:val="007C0869"/>
    <w:rsid w:val="007D1D3F"/>
    <w:rsid w:val="007D4313"/>
    <w:rsid w:val="00811C20"/>
    <w:rsid w:val="00823E78"/>
    <w:rsid w:val="008379C6"/>
    <w:rsid w:val="00865A61"/>
    <w:rsid w:val="00867799"/>
    <w:rsid w:val="00877387"/>
    <w:rsid w:val="008A35D7"/>
    <w:rsid w:val="008B7D76"/>
    <w:rsid w:val="008C2AD6"/>
    <w:rsid w:val="008F2474"/>
    <w:rsid w:val="00911529"/>
    <w:rsid w:val="00914954"/>
    <w:rsid w:val="00925BD5"/>
    <w:rsid w:val="00932FA1"/>
    <w:rsid w:val="0095013B"/>
    <w:rsid w:val="00954CD5"/>
    <w:rsid w:val="00976E76"/>
    <w:rsid w:val="009771D9"/>
    <w:rsid w:val="0098351F"/>
    <w:rsid w:val="00986D29"/>
    <w:rsid w:val="00990CD4"/>
    <w:rsid w:val="009912D6"/>
    <w:rsid w:val="00992CC5"/>
    <w:rsid w:val="009A192C"/>
    <w:rsid w:val="009A203B"/>
    <w:rsid w:val="009C546C"/>
    <w:rsid w:val="009D0F98"/>
    <w:rsid w:val="00A11729"/>
    <w:rsid w:val="00A33919"/>
    <w:rsid w:val="00A4074E"/>
    <w:rsid w:val="00A41EE5"/>
    <w:rsid w:val="00A52CF4"/>
    <w:rsid w:val="00A53B5F"/>
    <w:rsid w:val="00A5517D"/>
    <w:rsid w:val="00A7141C"/>
    <w:rsid w:val="00A83DA1"/>
    <w:rsid w:val="00AD1673"/>
    <w:rsid w:val="00AE037A"/>
    <w:rsid w:val="00AE3C4E"/>
    <w:rsid w:val="00B05ADD"/>
    <w:rsid w:val="00B06243"/>
    <w:rsid w:val="00B12347"/>
    <w:rsid w:val="00B306C4"/>
    <w:rsid w:val="00B54663"/>
    <w:rsid w:val="00B61EBB"/>
    <w:rsid w:val="00B82D02"/>
    <w:rsid w:val="00B96DC9"/>
    <w:rsid w:val="00BB466E"/>
    <w:rsid w:val="00BC210C"/>
    <w:rsid w:val="00BC5BC1"/>
    <w:rsid w:val="00BD40C9"/>
    <w:rsid w:val="00BF7990"/>
    <w:rsid w:val="00C05B97"/>
    <w:rsid w:val="00C071D0"/>
    <w:rsid w:val="00C07FF7"/>
    <w:rsid w:val="00C319B7"/>
    <w:rsid w:val="00C43B9F"/>
    <w:rsid w:val="00CA737A"/>
    <w:rsid w:val="00CD0D9A"/>
    <w:rsid w:val="00CD1D79"/>
    <w:rsid w:val="00CD24F7"/>
    <w:rsid w:val="00CF0287"/>
    <w:rsid w:val="00D03B80"/>
    <w:rsid w:val="00D14992"/>
    <w:rsid w:val="00D261CE"/>
    <w:rsid w:val="00D34764"/>
    <w:rsid w:val="00D44F6F"/>
    <w:rsid w:val="00D47B2C"/>
    <w:rsid w:val="00D47B87"/>
    <w:rsid w:val="00D75A42"/>
    <w:rsid w:val="00D86759"/>
    <w:rsid w:val="00D869AD"/>
    <w:rsid w:val="00D9338E"/>
    <w:rsid w:val="00DC2456"/>
    <w:rsid w:val="00DC3649"/>
    <w:rsid w:val="00DC3CE1"/>
    <w:rsid w:val="00DC5697"/>
    <w:rsid w:val="00DD424E"/>
    <w:rsid w:val="00DE7D51"/>
    <w:rsid w:val="00DF47EB"/>
    <w:rsid w:val="00DF4A85"/>
    <w:rsid w:val="00E01F1B"/>
    <w:rsid w:val="00E32102"/>
    <w:rsid w:val="00E335AF"/>
    <w:rsid w:val="00E56836"/>
    <w:rsid w:val="00E80CEB"/>
    <w:rsid w:val="00E82093"/>
    <w:rsid w:val="00E843AA"/>
    <w:rsid w:val="00E940ED"/>
    <w:rsid w:val="00EA43B2"/>
    <w:rsid w:val="00EA7665"/>
    <w:rsid w:val="00ED0C8F"/>
    <w:rsid w:val="00EE0C70"/>
    <w:rsid w:val="00F06042"/>
    <w:rsid w:val="00F0651D"/>
    <w:rsid w:val="00F06580"/>
    <w:rsid w:val="00F416CA"/>
    <w:rsid w:val="00F51792"/>
    <w:rsid w:val="00F52541"/>
    <w:rsid w:val="00F61C18"/>
    <w:rsid w:val="00F82521"/>
    <w:rsid w:val="00F97BA7"/>
    <w:rsid w:val="00FA5864"/>
    <w:rsid w:val="00FC0AC7"/>
    <w:rsid w:val="00FF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2A7F079"/>
  <w14:defaultImageDpi w14:val="0"/>
  <w15:docId w15:val="{B5F98CF7-9EB9-45E4-879A-1F880116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4"/>
    <w:pPr>
      <w:spacing w:after="200" w:line="276"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2474"/>
    <w:pPr>
      <w:spacing w:after="0" w:line="240" w:lineRule="auto"/>
      <w:ind w:left="720"/>
    </w:pPr>
  </w:style>
  <w:style w:type="character" w:styleId="Kommentarzeichen">
    <w:name w:val="annotation reference"/>
    <w:basedOn w:val="Absatz-Standardschriftart"/>
    <w:uiPriority w:val="99"/>
    <w:semiHidden/>
    <w:unhideWhenUsed/>
    <w:rsid w:val="00644DEF"/>
    <w:rPr>
      <w:rFonts w:cs="Times New Roman"/>
      <w:sz w:val="16"/>
      <w:szCs w:val="16"/>
    </w:rPr>
  </w:style>
  <w:style w:type="paragraph" w:styleId="Kommentartext">
    <w:name w:val="annotation text"/>
    <w:basedOn w:val="Standard"/>
    <w:link w:val="KommentartextZchn"/>
    <w:uiPriority w:val="99"/>
    <w:unhideWhenUsed/>
    <w:rsid w:val="00644DEF"/>
    <w:pPr>
      <w:spacing w:line="240" w:lineRule="auto"/>
    </w:pPr>
    <w:rPr>
      <w:sz w:val="20"/>
      <w:szCs w:val="20"/>
    </w:rPr>
  </w:style>
  <w:style w:type="character" w:customStyle="1" w:styleId="KommentartextZchn">
    <w:name w:val="Kommentartext Zchn"/>
    <w:basedOn w:val="Absatz-Standardschriftart"/>
    <w:link w:val="Kommentartext"/>
    <w:uiPriority w:val="99"/>
    <w:locked/>
    <w:rsid w:val="00644D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44DEF"/>
    <w:rPr>
      <w:b/>
      <w:bCs/>
    </w:rPr>
  </w:style>
  <w:style w:type="character" w:customStyle="1" w:styleId="KommentarthemaZchn">
    <w:name w:val="Kommentarthema Zchn"/>
    <w:basedOn w:val="KommentartextZchn"/>
    <w:link w:val="Kommentarthema"/>
    <w:uiPriority w:val="99"/>
    <w:semiHidden/>
    <w:locked/>
    <w:rsid w:val="00644DE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644D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44DEF"/>
    <w:rPr>
      <w:rFonts w:ascii="Segoe UI" w:hAnsi="Segoe UI" w:cs="Segoe UI"/>
      <w:sz w:val="18"/>
      <w:szCs w:val="18"/>
    </w:rPr>
  </w:style>
  <w:style w:type="character" w:styleId="Hyperlink">
    <w:name w:val="Hyperlink"/>
    <w:basedOn w:val="Absatz-Standardschriftart"/>
    <w:uiPriority w:val="99"/>
    <w:unhideWhenUsed/>
    <w:rsid w:val="00992CC5"/>
    <w:rPr>
      <w:rFonts w:cs="Times New Roman"/>
      <w:color w:val="0563C1" w:themeColor="hyperlink"/>
      <w:u w:val="single"/>
    </w:rPr>
  </w:style>
  <w:style w:type="character" w:customStyle="1" w:styleId="NichtaufgelsteErwhnung1">
    <w:name w:val="Nicht aufgelöste Erwähnung1"/>
    <w:basedOn w:val="Absatz-Standardschriftart"/>
    <w:uiPriority w:val="99"/>
    <w:semiHidden/>
    <w:unhideWhenUsed/>
    <w:rsid w:val="00992CC5"/>
    <w:rPr>
      <w:rFonts w:cs="Times New Roman"/>
      <w:color w:val="605E5C"/>
      <w:shd w:val="clear" w:color="auto" w:fill="E1DFDD"/>
    </w:rPr>
  </w:style>
  <w:style w:type="paragraph" w:styleId="Kopfzeile">
    <w:name w:val="header"/>
    <w:basedOn w:val="Standard"/>
    <w:link w:val="KopfzeileZchn"/>
    <w:uiPriority w:val="99"/>
    <w:unhideWhenUsed/>
    <w:rsid w:val="00986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86D29"/>
    <w:rPr>
      <w:rFonts w:ascii="Calibri" w:hAnsi="Calibri" w:cs="Calibri"/>
    </w:rPr>
  </w:style>
  <w:style w:type="paragraph" w:styleId="Fuzeile">
    <w:name w:val="footer"/>
    <w:basedOn w:val="Standard"/>
    <w:link w:val="FuzeileZchn"/>
    <w:uiPriority w:val="99"/>
    <w:unhideWhenUsed/>
    <w:rsid w:val="00986D2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86D29"/>
    <w:rPr>
      <w:rFonts w:ascii="Calibri" w:hAnsi="Calibri" w:cs="Calibri"/>
    </w:rPr>
  </w:style>
  <w:style w:type="character" w:styleId="Fett">
    <w:name w:val="Strong"/>
    <w:basedOn w:val="Absatz-Standardschriftart"/>
    <w:uiPriority w:val="22"/>
    <w:qFormat/>
    <w:rsid w:val="00865A61"/>
    <w:rPr>
      <w:rFonts w:cs="Times New Roman"/>
      <w:b/>
      <w:bCs/>
    </w:rPr>
  </w:style>
  <w:style w:type="character" w:styleId="BesuchterLink">
    <w:name w:val="FollowedHyperlink"/>
    <w:basedOn w:val="Absatz-Standardschriftart"/>
    <w:uiPriority w:val="99"/>
    <w:semiHidden/>
    <w:unhideWhenUsed/>
    <w:rsid w:val="00865A61"/>
    <w:rPr>
      <w:rFonts w:cs="Times New Roman"/>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14992"/>
    <w:rPr>
      <w:rFonts w:cs="Times New Roman"/>
      <w:color w:val="605E5C"/>
      <w:shd w:val="clear" w:color="auto" w:fill="E1DFDD"/>
    </w:rPr>
  </w:style>
  <w:style w:type="paragraph" w:styleId="StandardWeb">
    <w:name w:val="Normal (Web)"/>
    <w:basedOn w:val="Standard"/>
    <w:uiPriority w:val="99"/>
    <w:unhideWhenUsed/>
    <w:rsid w:val="00627916"/>
    <w:pPr>
      <w:spacing w:before="100" w:beforeAutospacing="1" w:after="100" w:afterAutospacing="1" w:line="240" w:lineRule="auto"/>
    </w:pPr>
    <w:rPr>
      <w:rFonts w:ascii="Times New Roman" w:hAnsi="Times New Roman" w:cs="Times New Roman"/>
      <w:sz w:val="24"/>
      <w:szCs w:val="24"/>
      <w:lang w:eastAsia="de-DE"/>
    </w:rPr>
  </w:style>
  <w:style w:type="paragraph" w:styleId="berarbeitung">
    <w:name w:val="Revision"/>
    <w:hidden/>
    <w:uiPriority w:val="99"/>
    <w:semiHidden/>
    <w:rsid w:val="005B736C"/>
    <w:pPr>
      <w:spacing w:after="0" w:line="240" w:lineRule="auto"/>
    </w:pPr>
    <w:rPr>
      <w:rFonts w:ascii="Calibri" w:hAnsi="Calibri" w:cs="Calibri"/>
    </w:rPr>
  </w:style>
  <w:style w:type="character" w:customStyle="1" w:styleId="NichtaufgelsteErwhnung3">
    <w:name w:val="Nicht aufgelöste Erwähnung3"/>
    <w:basedOn w:val="Absatz-Standardschriftart"/>
    <w:uiPriority w:val="99"/>
    <w:semiHidden/>
    <w:unhideWhenUsed/>
    <w:rsid w:val="00690649"/>
    <w:rPr>
      <w:color w:val="605E5C"/>
      <w:shd w:val="clear" w:color="auto" w:fill="E1DFDD"/>
    </w:rPr>
  </w:style>
  <w:style w:type="table" w:styleId="Tabellenraster">
    <w:name w:val="Table Grid"/>
    <w:basedOn w:val="NormaleTabelle"/>
    <w:uiPriority w:val="59"/>
    <w:rsid w:val="009D0F9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3517">
      <w:bodyDiv w:val="1"/>
      <w:marLeft w:val="0"/>
      <w:marRight w:val="0"/>
      <w:marTop w:val="0"/>
      <w:marBottom w:val="0"/>
      <w:divBdr>
        <w:top w:val="none" w:sz="0" w:space="0" w:color="auto"/>
        <w:left w:val="none" w:sz="0" w:space="0" w:color="auto"/>
        <w:bottom w:val="none" w:sz="0" w:space="0" w:color="auto"/>
        <w:right w:val="none" w:sz="0" w:space="0" w:color="auto"/>
      </w:divBdr>
    </w:div>
    <w:div w:id="1602185248">
      <w:marLeft w:val="0"/>
      <w:marRight w:val="0"/>
      <w:marTop w:val="0"/>
      <w:marBottom w:val="0"/>
      <w:divBdr>
        <w:top w:val="none" w:sz="0" w:space="0" w:color="auto"/>
        <w:left w:val="none" w:sz="0" w:space="0" w:color="auto"/>
        <w:bottom w:val="none" w:sz="0" w:space="0" w:color="auto"/>
        <w:right w:val="none" w:sz="0" w:space="0" w:color="auto"/>
      </w:divBdr>
    </w:div>
    <w:div w:id="1602185249">
      <w:marLeft w:val="0"/>
      <w:marRight w:val="0"/>
      <w:marTop w:val="0"/>
      <w:marBottom w:val="0"/>
      <w:divBdr>
        <w:top w:val="none" w:sz="0" w:space="0" w:color="auto"/>
        <w:left w:val="none" w:sz="0" w:space="0" w:color="auto"/>
        <w:bottom w:val="none" w:sz="0" w:space="0" w:color="auto"/>
        <w:right w:val="none" w:sz="0" w:space="0" w:color="auto"/>
      </w:divBdr>
    </w:div>
    <w:div w:id="1602185250">
      <w:marLeft w:val="0"/>
      <w:marRight w:val="0"/>
      <w:marTop w:val="0"/>
      <w:marBottom w:val="0"/>
      <w:divBdr>
        <w:top w:val="none" w:sz="0" w:space="0" w:color="auto"/>
        <w:left w:val="none" w:sz="0" w:space="0" w:color="auto"/>
        <w:bottom w:val="none" w:sz="0" w:space="0" w:color="auto"/>
        <w:right w:val="none" w:sz="0" w:space="0" w:color="auto"/>
      </w:divBdr>
    </w:div>
    <w:div w:id="1602185251">
      <w:marLeft w:val="0"/>
      <w:marRight w:val="0"/>
      <w:marTop w:val="0"/>
      <w:marBottom w:val="0"/>
      <w:divBdr>
        <w:top w:val="none" w:sz="0" w:space="0" w:color="auto"/>
        <w:left w:val="none" w:sz="0" w:space="0" w:color="auto"/>
        <w:bottom w:val="none" w:sz="0" w:space="0" w:color="auto"/>
        <w:right w:val="none" w:sz="0" w:space="0" w:color="auto"/>
      </w:divBdr>
    </w:div>
    <w:div w:id="1602185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de.de/" TargetMode="External"/><Relationship Id="rId18" Type="http://schemas.openxmlformats.org/officeDocument/2006/relationships/hyperlink" Target="http://www.tde.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reitbandkongress-frk.de/kongress/anmeldung" TargetMode="External"/><Relationship Id="rId17" Type="http://schemas.openxmlformats.org/officeDocument/2006/relationships/hyperlink" Target="mailto:info@tde.de" TargetMode="External"/><Relationship Id="rId2" Type="http://schemas.openxmlformats.org/officeDocument/2006/relationships/customXml" Target="../customXml/item2.xml"/><Relationship Id="rId16" Type="http://schemas.openxmlformats.org/officeDocument/2006/relationships/hyperlink" Target="https://www.xing.com/companies/tde-transdataelektronikgmbh/updates" TargetMode="External"/><Relationship Id="rId20" Type="http://schemas.openxmlformats.org/officeDocument/2006/relationships/hyperlink" Target="http://www.epr-online.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de.de/de/events-details/id-24-breitbandkongresses-des-frk.html" TargetMode="External"/><Relationship Id="rId5" Type="http://schemas.openxmlformats.org/officeDocument/2006/relationships/styles" Target="styles.xml"/><Relationship Id="rId15" Type="http://schemas.openxmlformats.org/officeDocument/2006/relationships/hyperlink" Target="https://twitter.com/tdeConnect" TargetMode="External"/><Relationship Id="rId23" Type="http://schemas.openxmlformats.org/officeDocument/2006/relationships/theme" Target="theme/theme1.xml"/><Relationship Id="rId10" Type="http://schemas.openxmlformats.org/officeDocument/2006/relationships/hyperlink" Target="https://www.tde.de/de/events-details/id-24-breitbandkongresses-des-frk.html" TargetMode="External"/><Relationship Id="rId19" Type="http://schemas.openxmlformats.org/officeDocument/2006/relationships/hyperlink" Target="mailto:fs@epr-onlin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tde-trans-data-elektronik-gmb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B5802A259FD48BF3EBA8B6A091433" ma:contentTypeVersion="12" ma:contentTypeDescription="Create a new document." ma:contentTypeScope="" ma:versionID="75a5657ca3b1484d723f56b4200d2cab">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764ac3b85315655d411f5b2b1de38a06"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36820-65BF-4AF6-8CD0-9C058377EF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75378-6D4E-4BB2-BC4E-59B1044A7ED2}">
  <ds:schemaRefs>
    <ds:schemaRef ds:uri="http://schemas.microsoft.com/sharepoint/v3/contenttype/forms"/>
  </ds:schemaRefs>
</ds:datastoreItem>
</file>

<file path=customXml/itemProps3.xml><?xml version="1.0" encoding="utf-8"?>
<ds:datastoreItem xmlns:ds="http://schemas.openxmlformats.org/officeDocument/2006/customXml" ds:itemID="{FACD8A6D-A207-4D2B-89A0-C5B410744E2B}"/>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Schütz | epr - elsaesser public relations</dc:creator>
  <cp:lastModifiedBy>Elke Thiergärtner | epr - elsaesser public relations</cp:lastModifiedBy>
  <cp:revision>2</cp:revision>
  <dcterms:created xsi:type="dcterms:W3CDTF">2021-08-11T09:27:00Z</dcterms:created>
  <dcterms:modified xsi:type="dcterms:W3CDTF">2021-08-11T09:27:00Z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