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F33ED" w14:textId="53E4A6A4" w:rsidR="00986D29" w:rsidRPr="0005190F" w:rsidRDefault="00986D29" w:rsidP="00986D29">
      <w:pPr>
        <w:spacing w:line="360" w:lineRule="auto"/>
        <w:jc w:val="right"/>
        <w:rPr>
          <w:b/>
          <w:bCs/>
          <w:u w:val="single"/>
          <w:lang w:val="en-US"/>
        </w:rPr>
      </w:pPr>
      <w:r w:rsidRPr="0005190F">
        <w:rPr>
          <w:rFonts w:ascii="Verdana" w:hAnsi="Verdana" w:cs="Verdana"/>
          <w:color w:val="808080"/>
          <w:sz w:val="20"/>
          <w:szCs w:val="20"/>
          <w:lang w:val="en-US"/>
        </w:rPr>
        <w:t>Press</w:t>
      </w:r>
      <w:r w:rsidR="001978F3" w:rsidRPr="0005190F">
        <w:rPr>
          <w:rFonts w:ascii="Verdana" w:hAnsi="Verdana" w:cs="Verdana"/>
          <w:color w:val="808080"/>
          <w:sz w:val="20"/>
          <w:szCs w:val="20"/>
          <w:lang w:val="en-US"/>
        </w:rPr>
        <w:t xml:space="preserve"> Release</w:t>
      </w:r>
    </w:p>
    <w:p w14:paraId="771562CF" w14:textId="2D0B521A" w:rsidR="001978F3" w:rsidRPr="001978F3" w:rsidRDefault="001978F3" w:rsidP="00B06243">
      <w:pPr>
        <w:rPr>
          <w:b/>
          <w:bCs/>
          <w:u w:val="single"/>
          <w:lang w:val="en-US"/>
        </w:rPr>
      </w:pPr>
      <w:r w:rsidRPr="001978F3">
        <w:rPr>
          <w:b/>
          <w:bCs/>
          <w:u w:val="single"/>
          <w:lang w:val="en-US"/>
        </w:rPr>
        <w:t>Network specialist celebrates 30</w:t>
      </w:r>
      <w:r w:rsidRPr="0005190F">
        <w:rPr>
          <w:b/>
          <w:bCs/>
          <w:u w:val="single"/>
          <w:vertAlign w:val="superscript"/>
          <w:lang w:val="en-US"/>
        </w:rPr>
        <w:t>th</w:t>
      </w:r>
      <w:r w:rsidRPr="001978F3">
        <w:rPr>
          <w:b/>
          <w:bCs/>
          <w:u w:val="single"/>
          <w:lang w:val="en-US"/>
        </w:rPr>
        <w:t xml:space="preserve"> anniversary </w:t>
      </w:r>
      <w:r w:rsidR="005E5356" w:rsidRPr="0005190F">
        <w:rPr>
          <w:b/>
          <w:bCs/>
          <w:u w:val="single"/>
          <w:lang w:val="en-GB"/>
        </w:rPr>
        <w:t>–</w:t>
      </w:r>
      <w:r w:rsidRPr="001978F3">
        <w:rPr>
          <w:b/>
          <w:bCs/>
          <w:u w:val="single"/>
          <w:lang w:val="en-US"/>
        </w:rPr>
        <w:t xml:space="preserve"> Expansion of German production site</w:t>
      </w:r>
    </w:p>
    <w:p w14:paraId="1D9A60AC" w14:textId="24CD01DB" w:rsidR="001978F3" w:rsidRPr="001978F3" w:rsidRDefault="001978F3" w:rsidP="00B06243">
      <w:pPr>
        <w:rPr>
          <w:b/>
          <w:bCs/>
          <w:sz w:val="32"/>
          <w:szCs w:val="32"/>
          <w:lang w:val="en-US"/>
        </w:rPr>
      </w:pPr>
      <w:r w:rsidRPr="001978F3">
        <w:rPr>
          <w:b/>
          <w:bCs/>
          <w:sz w:val="32"/>
          <w:szCs w:val="32"/>
          <w:lang w:val="en-US"/>
        </w:rPr>
        <w:t xml:space="preserve">30 years of tde: </w:t>
      </w:r>
      <w:r w:rsidR="005E5356">
        <w:rPr>
          <w:b/>
          <w:bCs/>
          <w:sz w:val="32"/>
          <w:szCs w:val="32"/>
          <w:lang w:val="en-US"/>
        </w:rPr>
        <w:t>W</w:t>
      </w:r>
      <w:r w:rsidRPr="001978F3">
        <w:rPr>
          <w:b/>
          <w:bCs/>
          <w:sz w:val="32"/>
          <w:szCs w:val="32"/>
          <w:lang w:val="en-US"/>
        </w:rPr>
        <w:t>ith quality and sustainability</w:t>
      </w:r>
      <w:r w:rsidR="005E5356">
        <w:rPr>
          <w:b/>
          <w:bCs/>
          <w:sz w:val="32"/>
          <w:szCs w:val="32"/>
          <w:lang w:val="en-US"/>
        </w:rPr>
        <w:t xml:space="preserve"> into </w:t>
      </w:r>
      <w:r w:rsidR="005E5356" w:rsidRPr="001978F3">
        <w:rPr>
          <w:b/>
          <w:bCs/>
          <w:sz w:val="32"/>
          <w:szCs w:val="32"/>
          <w:lang w:val="en-US"/>
        </w:rPr>
        <w:t>the future</w:t>
      </w:r>
    </w:p>
    <w:p w14:paraId="2DD77B37" w14:textId="0D0B2137" w:rsidR="00390DC5" w:rsidRPr="00390DC5" w:rsidRDefault="00390DC5" w:rsidP="00B06243">
      <w:pPr>
        <w:spacing w:line="360" w:lineRule="auto"/>
        <w:rPr>
          <w:b/>
          <w:bCs/>
          <w:lang w:val="en-US"/>
        </w:rPr>
      </w:pPr>
      <w:r w:rsidRPr="00390DC5">
        <w:rPr>
          <w:b/>
          <w:bCs/>
          <w:lang w:val="en-US"/>
        </w:rPr>
        <w:t>Dortmund</w:t>
      </w:r>
      <w:r>
        <w:rPr>
          <w:b/>
          <w:bCs/>
          <w:lang w:val="en-US"/>
        </w:rPr>
        <w:t>/Germany</w:t>
      </w:r>
      <w:r w:rsidRPr="00390DC5">
        <w:rPr>
          <w:b/>
          <w:bCs/>
          <w:lang w:val="en-US"/>
        </w:rPr>
        <w:t>, June</w:t>
      </w:r>
      <w:r w:rsidR="005E5356">
        <w:rPr>
          <w:b/>
          <w:bCs/>
          <w:lang w:val="en-US"/>
        </w:rPr>
        <w:t xml:space="preserve"> </w:t>
      </w:r>
      <w:r w:rsidR="00D13268">
        <w:rPr>
          <w:b/>
          <w:bCs/>
          <w:lang w:val="en-US"/>
        </w:rPr>
        <w:t>21</w:t>
      </w:r>
      <w:bookmarkStart w:id="0" w:name="_GoBack"/>
      <w:bookmarkEnd w:id="0"/>
      <w:r w:rsidR="005E5356">
        <w:rPr>
          <w:b/>
          <w:bCs/>
          <w:lang w:val="en-US"/>
        </w:rPr>
        <w:t>,</w:t>
      </w:r>
      <w:r w:rsidRPr="00390DC5">
        <w:rPr>
          <w:b/>
          <w:bCs/>
          <w:lang w:val="en-US"/>
        </w:rPr>
        <w:t xml:space="preserve"> 2021. tde celebrates its 30</w:t>
      </w:r>
      <w:r w:rsidRPr="0005190F">
        <w:rPr>
          <w:b/>
          <w:bCs/>
          <w:vertAlign w:val="superscript"/>
          <w:lang w:val="en-US"/>
        </w:rPr>
        <w:t>th</w:t>
      </w:r>
      <w:r w:rsidRPr="00390DC5">
        <w:rPr>
          <w:b/>
          <w:bCs/>
          <w:lang w:val="en-US"/>
        </w:rPr>
        <w:t xml:space="preserve"> anniversary. Since 1991, the network specialist has been developing and producing scalable cabling systems for the</w:t>
      </w:r>
      <w:r w:rsidR="005E5356">
        <w:rPr>
          <w:b/>
          <w:bCs/>
          <w:lang w:val="en-US"/>
        </w:rPr>
        <w:t xml:space="preserve"> </w:t>
      </w:r>
      <w:r w:rsidR="005E5356" w:rsidRPr="005E5356">
        <w:rPr>
          <w:b/>
          <w:bCs/>
          <w:lang w:val="en-US"/>
        </w:rPr>
        <w:t>industry's</w:t>
      </w:r>
      <w:r w:rsidRPr="00390DC5">
        <w:rPr>
          <w:b/>
          <w:bCs/>
          <w:lang w:val="en-US"/>
        </w:rPr>
        <w:t xml:space="preserve"> highest packing densities. In doing so, the company consistently focuses on sustainability and quality in all areas: from </w:t>
      </w:r>
      <w:r w:rsidR="005E5356">
        <w:rPr>
          <w:b/>
          <w:bCs/>
          <w:lang w:val="en-US"/>
        </w:rPr>
        <w:t xml:space="preserve">the </w:t>
      </w:r>
      <w:r w:rsidRPr="00390DC5">
        <w:rPr>
          <w:b/>
          <w:bCs/>
          <w:lang w:val="en-US"/>
        </w:rPr>
        <w:t xml:space="preserve">conception to the supply chain </w:t>
      </w:r>
      <w:r w:rsidR="00745C17">
        <w:rPr>
          <w:b/>
          <w:bCs/>
          <w:lang w:val="en-US"/>
        </w:rPr>
        <w:t xml:space="preserve">through </w:t>
      </w:r>
      <w:r w:rsidRPr="00390DC5">
        <w:rPr>
          <w:b/>
          <w:bCs/>
          <w:lang w:val="en-US"/>
        </w:rPr>
        <w:t>to the production of its energy-efficient and investment-safe cabling systems at its German production site. Customers thus benefit from stable and future-proof networks with 100 percent reliability and high availability. The technology leader in MPO multi-fib</w:t>
      </w:r>
      <w:r>
        <w:rPr>
          <w:b/>
          <w:bCs/>
          <w:lang w:val="en-US"/>
        </w:rPr>
        <w:t>r</w:t>
      </w:r>
      <w:r w:rsidRPr="00390DC5">
        <w:rPr>
          <w:b/>
          <w:bCs/>
          <w:lang w:val="en-US"/>
        </w:rPr>
        <w:t xml:space="preserve">e technology is also pursuing the concept of sustainability for its company buildings: After moving into its </w:t>
      </w:r>
      <w:r w:rsidR="00745C17" w:rsidRPr="00745C17">
        <w:rPr>
          <w:b/>
          <w:bCs/>
          <w:lang w:val="en-US"/>
        </w:rPr>
        <w:t>heritage-</w:t>
      </w:r>
      <w:r w:rsidRPr="00390DC5">
        <w:rPr>
          <w:b/>
          <w:bCs/>
          <w:lang w:val="en-US"/>
        </w:rPr>
        <w:t xml:space="preserve">listed sales office in Dortmund five years ago, tde </w:t>
      </w:r>
      <w:r w:rsidR="004B21E7">
        <w:rPr>
          <w:b/>
          <w:bCs/>
          <w:lang w:val="en-US"/>
        </w:rPr>
        <w:t>puts</w:t>
      </w:r>
      <w:r w:rsidRPr="00390DC5">
        <w:rPr>
          <w:b/>
          <w:bCs/>
          <w:lang w:val="en-US"/>
        </w:rPr>
        <w:t xml:space="preserve"> its new core-renovated </w:t>
      </w:r>
      <w:r w:rsidR="004B21E7">
        <w:rPr>
          <w:b/>
          <w:bCs/>
          <w:lang w:val="en-US"/>
        </w:rPr>
        <w:t>ultramodern</w:t>
      </w:r>
      <w:r w:rsidRPr="00390DC5">
        <w:rPr>
          <w:b/>
          <w:bCs/>
          <w:lang w:val="en-US"/>
        </w:rPr>
        <w:t xml:space="preserve"> production hall </w:t>
      </w:r>
      <w:r w:rsidR="004B21E7" w:rsidRPr="004B21E7">
        <w:rPr>
          <w:b/>
          <w:bCs/>
          <w:lang w:val="en-US"/>
        </w:rPr>
        <w:t xml:space="preserve">into operation </w:t>
      </w:r>
      <w:r w:rsidRPr="00390DC5">
        <w:rPr>
          <w:b/>
          <w:bCs/>
          <w:lang w:val="en-US"/>
        </w:rPr>
        <w:t xml:space="preserve">at the site in </w:t>
      </w:r>
      <w:proofErr w:type="spellStart"/>
      <w:r w:rsidRPr="00390DC5">
        <w:rPr>
          <w:b/>
          <w:bCs/>
          <w:lang w:val="en-US"/>
        </w:rPr>
        <w:t>Bippen</w:t>
      </w:r>
      <w:proofErr w:type="spellEnd"/>
      <w:r w:rsidRPr="00390DC5">
        <w:rPr>
          <w:b/>
          <w:bCs/>
          <w:lang w:val="en-US"/>
        </w:rPr>
        <w:t>/</w:t>
      </w:r>
      <w:proofErr w:type="spellStart"/>
      <w:r w:rsidRPr="00390DC5">
        <w:rPr>
          <w:b/>
          <w:bCs/>
          <w:lang w:val="en-US"/>
        </w:rPr>
        <w:t>Ohrte</w:t>
      </w:r>
      <w:proofErr w:type="spellEnd"/>
      <w:r w:rsidRPr="00390DC5">
        <w:rPr>
          <w:b/>
          <w:bCs/>
          <w:lang w:val="en-US"/>
        </w:rPr>
        <w:t xml:space="preserve"> in its anniversary year, thus </w:t>
      </w:r>
      <w:r w:rsidR="004B21E7" w:rsidRPr="004B21E7">
        <w:rPr>
          <w:b/>
          <w:bCs/>
          <w:lang w:val="en-US"/>
        </w:rPr>
        <w:t>living up to its</w:t>
      </w:r>
      <w:r w:rsidR="004B21E7">
        <w:rPr>
          <w:b/>
          <w:bCs/>
          <w:lang w:val="en-US"/>
        </w:rPr>
        <w:t xml:space="preserve"> </w:t>
      </w:r>
      <w:r w:rsidRPr="00390DC5">
        <w:rPr>
          <w:b/>
          <w:bCs/>
          <w:lang w:val="en-US"/>
        </w:rPr>
        <w:t>approach of "creating</w:t>
      </w:r>
      <w:r>
        <w:rPr>
          <w:b/>
          <w:bCs/>
          <w:lang w:val="en-US"/>
        </w:rPr>
        <w:t xml:space="preserve">, </w:t>
      </w:r>
      <w:r w:rsidRPr="00390DC5">
        <w:rPr>
          <w:b/>
          <w:bCs/>
          <w:lang w:val="en-US"/>
        </w:rPr>
        <w:t xml:space="preserve">maintaining </w:t>
      </w:r>
      <w:r>
        <w:rPr>
          <w:b/>
          <w:bCs/>
          <w:lang w:val="en-US"/>
        </w:rPr>
        <w:t xml:space="preserve">and </w:t>
      </w:r>
      <w:r w:rsidRPr="00390DC5">
        <w:rPr>
          <w:b/>
          <w:bCs/>
          <w:lang w:val="en-US"/>
        </w:rPr>
        <w:t>increasing value</w:t>
      </w:r>
      <w:r w:rsidR="004B21E7">
        <w:rPr>
          <w:b/>
          <w:bCs/>
          <w:lang w:val="en-US"/>
        </w:rPr>
        <w:t>s</w:t>
      </w:r>
      <w:r w:rsidRPr="00390DC5">
        <w:rPr>
          <w:b/>
          <w:bCs/>
          <w:lang w:val="en-US"/>
        </w:rPr>
        <w:t>".</w:t>
      </w:r>
    </w:p>
    <w:p w14:paraId="17E6E72A" w14:textId="62107B85" w:rsidR="00390DC5" w:rsidRPr="00390DC5" w:rsidRDefault="00390DC5" w:rsidP="00B06243">
      <w:pPr>
        <w:spacing w:line="360" w:lineRule="auto"/>
        <w:rPr>
          <w:lang w:val="en-US"/>
        </w:rPr>
      </w:pPr>
      <w:r w:rsidRPr="00390DC5">
        <w:rPr>
          <w:lang w:val="en-US"/>
        </w:rPr>
        <w:t xml:space="preserve">Always one step ahead </w:t>
      </w:r>
      <w:r w:rsidR="00285420">
        <w:rPr>
          <w:lang w:val="en-US"/>
        </w:rPr>
        <w:t>–</w:t>
      </w:r>
      <w:r w:rsidRPr="00390DC5">
        <w:rPr>
          <w:lang w:val="en-US"/>
        </w:rPr>
        <w:t xml:space="preserve"> that has been tde's claim for 30 years now: Since its founding in 1991, the network specialist has continuously demonstrated its innovative strength and offers future-proof solutions that provide companies with a stable backbone for their network. To achieve this, the privately run family business places quality and sustainability at the cent</w:t>
      </w:r>
      <w:r>
        <w:rPr>
          <w:lang w:val="en-US"/>
        </w:rPr>
        <w:t>r</w:t>
      </w:r>
      <w:r w:rsidRPr="00390DC5">
        <w:rPr>
          <w:lang w:val="en-US"/>
        </w:rPr>
        <w:t xml:space="preserve">e of its corporate strategy: "We not only design and produce our modular system platforms sustainably and with a quality guarantee, but also preserve the value of our buildings, use electric cars or pay attention to environmental protection when </w:t>
      </w:r>
      <w:r w:rsidR="00285420">
        <w:rPr>
          <w:lang w:val="en-US"/>
        </w:rPr>
        <w:t>creating</w:t>
      </w:r>
      <w:r w:rsidRPr="00390DC5">
        <w:rPr>
          <w:lang w:val="en-US"/>
        </w:rPr>
        <w:t xml:space="preserve"> green spaces. At the same time, continuity is of utmost importance to us </w:t>
      </w:r>
      <w:r w:rsidR="00285420">
        <w:rPr>
          <w:lang w:val="en-US"/>
        </w:rPr>
        <w:t>–</w:t>
      </w:r>
      <w:r w:rsidRPr="00390DC5">
        <w:rPr>
          <w:lang w:val="en-US"/>
        </w:rPr>
        <w:t xml:space="preserve"> at all levels. This is also reflected in our product portfolio," says tde </w:t>
      </w:r>
      <w:r w:rsidR="0005190F">
        <w:rPr>
          <w:lang w:val="en-US"/>
        </w:rPr>
        <w:t xml:space="preserve">CEO </w:t>
      </w:r>
      <w:r w:rsidRPr="00390DC5">
        <w:rPr>
          <w:lang w:val="en-US"/>
        </w:rPr>
        <w:t>André Engel. "This clearly differentiates us from the competition and creates added value for customers."</w:t>
      </w:r>
    </w:p>
    <w:p w14:paraId="21C6A10E" w14:textId="5114B7F1" w:rsidR="00390DC5" w:rsidRPr="00390DC5" w:rsidRDefault="00390DC5" w:rsidP="00B06243">
      <w:pPr>
        <w:spacing w:line="360" w:lineRule="auto"/>
        <w:rPr>
          <w:lang w:val="en-US"/>
        </w:rPr>
      </w:pPr>
      <w:r w:rsidRPr="0005190F">
        <w:rPr>
          <w:i/>
          <w:iCs/>
          <w:lang w:val="en-US"/>
        </w:rPr>
        <w:t>tde system platforms: Investment- and future-proof as well as energy-efficient</w:t>
      </w:r>
      <w:r w:rsidR="00B06243" w:rsidRPr="0005190F">
        <w:rPr>
          <w:i/>
          <w:iCs/>
          <w:lang w:val="en-US"/>
        </w:rPr>
        <w:br/>
      </w:r>
      <w:r w:rsidRPr="00390DC5">
        <w:rPr>
          <w:lang w:val="en-US"/>
        </w:rPr>
        <w:t xml:space="preserve">tde has conceived and designed its product portfolio to be sustainable from the ground up: thanks to the modular design of the </w:t>
      </w:r>
      <w:proofErr w:type="spellStart"/>
      <w:r w:rsidRPr="00390DC5">
        <w:rPr>
          <w:lang w:val="en-US"/>
        </w:rPr>
        <w:t>tML</w:t>
      </w:r>
      <w:proofErr w:type="spellEnd"/>
      <w:r w:rsidRPr="00390DC5">
        <w:rPr>
          <w:lang w:val="en-US"/>
        </w:rPr>
        <w:t xml:space="preserve">, </w:t>
      </w:r>
      <w:proofErr w:type="spellStart"/>
      <w:r w:rsidRPr="00390DC5">
        <w:rPr>
          <w:lang w:val="en-US"/>
        </w:rPr>
        <w:t>tML</w:t>
      </w:r>
      <w:proofErr w:type="spellEnd"/>
      <w:r w:rsidRPr="00390DC5">
        <w:rPr>
          <w:lang w:val="en-US"/>
        </w:rPr>
        <w:t xml:space="preserve"> </w:t>
      </w:r>
      <w:proofErr w:type="spellStart"/>
      <w:r w:rsidRPr="00390DC5">
        <w:rPr>
          <w:lang w:val="en-US"/>
        </w:rPr>
        <w:t>Xtended</w:t>
      </w:r>
      <w:proofErr w:type="spellEnd"/>
      <w:r w:rsidRPr="00390DC5">
        <w:rPr>
          <w:lang w:val="en-US"/>
        </w:rPr>
        <w:t xml:space="preserve"> and tML-24 cabling systems, all components can be reused, which means that conversions, upgrades and extensions to the cabling infrastructure are possible at any time. Companies also receive cabling systems that are investment- and future-proof in the long term, as the platforms support simple and fast migration to currently up to 400G and more, and can integrate all relevant connectors currently available on the market. In combination with the space-saving MPO multi-fib</w:t>
      </w:r>
      <w:r>
        <w:rPr>
          <w:lang w:val="en-US"/>
        </w:rPr>
        <w:t>r</w:t>
      </w:r>
      <w:r w:rsidRPr="00390DC5">
        <w:rPr>
          <w:lang w:val="en-US"/>
        </w:rPr>
        <w:t xml:space="preserve">e connectors, the packing density of the connection technology, for example in the tML-24 system, can be significantly increased and the cable volume reduced. This saves expensive space in data </w:t>
      </w:r>
      <w:proofErr w:type="spellStart"/>
      <w:r w:rsidRPr="00390DC5">
        <w:rPr>
          <w:lang w:val="en-US"/>
        </w:rPr>
        <w:t>centr</w:t>
      </w:r>
      <w:r>
        <w:rPr>
          <w:lang w:val="en-US"/>
        </w:rPr>
        <w:t>e</w:t>
      </w:r>
      <w:r w:rsidRPr="00390DC5">
        <w:rPr>
          <w:lang w:val="en-US"/>
        </w:rPr>
        <w:t>s</w:t>
      </w:r>
      <w:proofErr w:type="spellEnd"/>
      <w:r w:rsidRPr="00390DC5">
        <w:rPr>
          <w:lang w:val="en-US"/>
        </w:rPr>
        <w:t xml:space="preserve"> and contributes to greater energy efficiency, as the area does </w:t>
      </w:r>
      <w:r w:rsidRPr="00390DC5">
        <w:rPr>
          <w:lang w:val="en-US"/>
        </w:rPr>
        <w:lastRenderedPageBreak/>
        <w:t xml:space="preserve">not need to be air-conditioned. The system solution tBL </w:t>
      </w:r>
      <w:r w:rsidR="00057BD7">
        <w:rPr>
          <w:lang w:val="en-US"/>
        </w:rPr>
        <w:t>–</w:t>
      </w:r>
      <w:r w:rsidRPr="00390DC5">
        <w:rPr>
          <w:lang w:val="en-US"/>
        </w:rPr>
        <w:t xml:space="preserve"> tde Basic Link for classic cabling, the patented patch cable management system </w:t>
      </w:r>
      <w:proofErr w:type="spellStart"/>
      <w:r w:rsidRPr="00390DC5">
        <w:rPr>
          <w:lang w:val="en-US"/>
        </w:rPr>
        <w:t>tPM</w:t>
      </w:r>
      <w:proofErr w:type="spellEnd"/>
      <w:r w:rsidRPr="00390DC5">
        <w:rPr>
          <w:lang w:val="en-US"/>
        </w:rPr>
        <w:t xml:space="preserve"> and the modular central office solution tDF </w:t>
      </w:r>
      <w:r w:rsidR="00057BD7">
        <w:rPr>
          <w:lang w:val="en-US"/>
        </w:rPr>
        <w:t>–</w:t>
      </w:r>
      <w:r w:rsidRPr="00390DC5">
        <w:rPr>
          <w:lang w:val="en-US"/>
        </w:rPr>
        <w:t xml:space="preserve"> tde Distribution Frame have also proven themselves in countless well-known reference projects.  </w:t>
      </w:r>
    </w:p>
    <w:p w14:paraId="2B4B4E3D" w14:textId="77777777" w:rsidR="008377B4" w:rsidRPr="008377B4" w:rsidRDefault="008377B4" w:rsidP="008377B4">
      <w:pPr>
        <w:spacing w:line="360" w:lineRule="auto"/>
        <w:rPr>
          <w:lang w:val="en-US"/>
        </w:rPr>
      </w:pPr>
      <w:r w:rsidRPr="008377B4">
        <w:rPr>
          <w:lang w:val="en-US"/>
        </w:rPr>
        <w:t xml:space="preserve">The network specialist uses only high-quality materials, thus ensuring the long service life of all components. By testing them 100 percent for quality and documenting all processes seamlessly, tde's customers benefit from up to 25 years of system warranty. </w:t>
      </w:r>
    </w:p>
    <w:p w14:paraId="17A58A6A" w14:textId="1C4C37D0" w:rsidR="008377B4" w:rsidRPr="008377B4" w:rsidRDefault="008377B4" w:rsidP="008377B4">
      <w:pPr>
        <w:spacing w:line="360" w:lineRule="auto"/>
        <w:rPr>
          <w:lang w:val="en-US"/>
        </w:rPr>
      </w:pPr>
      <w:r w:rsidRPr="008377B4">
        <w:rPr>
          <w:lang w:val="en-US"/>
        </w:rPr>
        <w:t xml:space="preserve">"Our strategy </w:t>
      </w:r>
      <w:r w:rsidR="00057BD7">
        <w:rPr>
          <w:lang w:val="en-US"/>
        </w:rPr>
        <w:t>–</w:t>
      </w:r>
      <w:r w:rsidRPr="008377B4">
        <w:rPr>
          <w:lang w:val="en-US"/>
        </w:rPr>
        <w:t xml:space="preserve"> to create a sustainable network infrastructure with the highest quality </w:t>
      </w:r>
      <w:r w:rsidR="00057BD7">
        <w:rPr>
          <w:lang w:val="en-US"/>
        </w:rPr>
        <w:t>–</w:t>
      </w:r>
      <w:r w:rsidRPr="008377B4">
        <w:rPr>
          <w:lang w:val="en-US"/>
        </w:rPr>
        <w:t xml:space="preserve"> is a success," says André Engel and continues, "This is demonstrated by our leading position in the market and numerous projects with renowned partners from all industries, including CERN. For us, however, sustainability </w:t>
      </w:r>
      <w:r w:rsidR="00A44CE8">
        <w:rPr>
          <w:lang w:val="en-US"/>
        </w:rPr>
        <w:t>goes beyond</w:t>
      </w:r>
      <w:r w:rsidRPr="008377B4">
        <w:rPr>
          <w:lang w:val="en-US"/>
        </w:rPr>
        <w:t xml:space="preserve"> our products </w:t>
      </w:r>
      <w:r w:rsidR="00A44CE8">
        <w:rPr>
          <w:lang w:val="en-US"/>
        </w:rPr>
        <w:t>–</w:t>
      </w:r>
      <w:r w:rsidRPr="008377B4">
        <w:rPr>
          <w:lang w:val="en-US"/>
        </w:rPr>
        <w:t xml:space="preserve"> we consistently pursue it in all areas of the company."</w:t>
      </w:r>
    </w:p>
    <w:p w14:paraId="79843C7B" w14:textId="10C77FE1" w:rsidR="008377B4" w:rsidRPr="008377B4" w:rsidRDefault="008377B4" w:rsidP="00B06243">
      <w:pPr>
        <w:spacing w:line="360" w:lineRule="auto"/>
        <w:rPr>
          <w:lang w:val="en-US"/>
        </w:rPr>
      </w:pPr>
      <w:r w:rsidRPr="00DD1B74">
        <w:rPr>
          <w:i/>
          <w:iCs/>
          <w:lang w:val="en-GB"/>
        </w:rPr>
        <w:t xml:space="preserve">Sustainable in every detail: building protection, electric car fleet, insect-friendly flower meadow </w:t>
      </w:r>
      <w:r w:rsidR="0005190F">
        <w:rPr>
          <w:i/>
          <w:iCs/>
          <w:lang w:val="en-GB"/>
        </w:rPr>
        <w:br/>
      </w:r>
      <w:r w:rsidRPr="008377B4">
        <w:rPr>
          <w:lang w:val="en-US"/>
        </w:rPr>
        <w:t>In order to be able to meet the demand for cabling solutions "</w:t>
      </w:r>
      <w:r w:rsidR="00F76DD6">
        <w:rPr>
          <w:lang w:val="en-US"/>
        </w:rPr>
        <w:t>m</w:t>
      </w:r>
      <w:r w:rsidRPr="008377B4">
        <w:rPr>
          <w:lang w:val="en-US"/>
        </w:rPr>
        <w:t xml:space="preserve">ade in Germany" at any time, tde has expanded its production site in </w:t>
      </w:r>
      <w:proofErr w:type="spellStart"/>
      <w:r w:rsidRPr="008377B4">
        <w:rPr>
          <w:lang w:val="en-US"/>
        </w:rPr>
        <w:t>Bippen</w:t>
      </w:r>
      <w:proofErr w:type="spellEnd"/>
      <w:r w:rsidRPr="008377B4">
        <w:rPr>
          <w:lang w:val="en-US"/>
        </w:rPr>
        <w:t>/</w:t>
      </w:r>
      <w:proofErr w:type="spellStart"/>
      <w:r w:rsidRPr="008377B4">
        <w:rPr>
          <w:lang w:val="en-US"/>
        </w:rPr>
        <w:t>Ohrte</w:t>
      </w:r>
      <w:proofErr w:type="spellEnd"/>
      <w:r w:rsidRPr="008377B4">
        <w:rPr>
          <w:lang w:val="en-US"/>
        </w:rPr>
        <w:t xml:space="preserve"> with an 800</w:t>
      </w:r>
      <w:r w:rsidR="000E47C2">
        <w:rPr>
          <w:lang w:val="en-US"/>
        </w:rPr>
        <w:t>-</w:t>
      </w:r>
      <w:r w:rsidRPr="008377B4">
        <w:rPr>
          <w:lang w:val="en-US"/>
        </w:rPr>
        <w:t>square</w:t>
      </w:r>
      <w:r w:rsidR="000E47C2">
        <w:rPr>
          <w:lang w:val="en-US"/>
        </w:rPr>
        <w:t>-</w:t>
      </w:r>
      <w:r w:rsidRPr="008377B4">
        <w:rPr>
          <w:lang w:val="en-US"/>
        </w:rPr>
        <w:t>meter hall for state-of-the-art fib</w:t>
      </w:r>
      <w:r>
        <w:rPr>
          <w:lang w:val="en-US"/>
        </w:rPr>
        <w:t>r</w:t>
      </w:r>
      <w:r w:rsidRPr="008377B4">
        <w:rPr>
          <w:lang w:val="en-US"/>
        </w:rPr>
        <w:t xml:space="preserve">e optic and copper cable assembly: </w:t>
      </w:r>
      <w:r w:rsidR="00DB7DED">
        <w:rPr>
          <w:lang w:val="en-US"/>
        </w:rPr>
        <w:t>f</w:t>
      </w:r>
      <w:r w:rsidRPr="008377B4">
        <w:rPr>
          <w:lang w:val="en-US"/>
        </w:rPr>
        <w:t xml:space="preserve">or this purpose, the network specialist had the </w:t>
      </w:r>
      <w:r w:rsidR="00DB7DED" w:rsidRPr="008377B4">
        <w:rPr>
          <w:lang w:val="en-US"/>
        </w:rPr>
        <w:t>20-year-old</w:t>
      </w:r>
      <w:r w:rsidRPr="008377B4">
        <w:rPr>
          <w:lang w:val="en-US"/>
        </w:rPr>
        <w:t xml:space="preserve"> building completely renovated and equipped with valuable furnishings in order to use it for production, as a warehouse and office. For more environmental and insect protection, a natural flower meadow surrounds the 6000</w:t>
      </w:r>
      <w:r w:rsidR="000E47C2">
        <w:rPr>
          <w:lang w:val="en-US"/>
        </w:rPr>
        <w:t>-</w:t>
      </w:r>
      <w:r w:rsidRPr="008377B4">
        <w:rPr>
          <w:lang w:val="en-US"/>
        </w:rPr>
        <w:t>square</w:t>
      </w:r>
      <w:r w:rsidR="000E47C2">
        <w:rPr>
          <w:lang w:val="en-US"/>
        </w:rPr>
        <w:t>-</w:t>
      </w:r>
      <w:r w:rsidRPr="008377B4">
        <w:rPr>
          <w:lang w:val="en-US"/>
        </w:rPr>
        <w:t>meter property. tde has installed e-charging stations both at the manufacturing facility in Lower Saxony and at the company headquarters in Dortmund. The network specialist uses these for its car fleet consisting of electric and hybrid cars.</w:t>
      </w:r>
    </w:p>
    <w:p w14:paraId="3570BA07" w14:textId="6EE64A1F" w:rsidR="008377B4" w:rsidRPr="008377B4" w:rsidRDefault="008377B4" w:rsidP="00B06243">
      <w:pPr>
        <w:spacing w:line="360" w:lineRule="auto"/>
        <w:rPr>
          <w:lang w:val="en-US"/>
        </w:rPr>
      </w:pPr>
      <w:r w:rsidRPr="0005190F">
        <w:rPr>
          <w:i/>
          <w:iCs/>
          <w:lang w:val="en-US"/>
        </w:rPr>
        <w:t>Internationally operating system supplier</w:t>
      </w:r>
      <w:r w:rsidR="00B06243" w:rsidRPr="0005190F">
        <w:rPr>
          <w:b/>
          <w:bCs/>
          <w:i/>
          <w:iCs/>
          <w:lang w:val="en-US"/>
        </w:rPr>
        <w:br/>
      </w:r>
      <w:r w:rsidRPr="008377B4">
        <w:rPr>
          <w:lang w:val="en-US"/>
        </w:rPr>
        <w:t xml:space="preserve">In the context of its company anniversary, tde can look back on significant milestones: "In addition to numerous product innovations, we are particularly proud of the fact that we have developed into a system supplier over the past fifteen to twenty years," says André Engel. "We sell our modular, scalable as well as plug-and-play tde solutions directly to corporations, universities or renowned institutions </w:t>
      </w:r>
      <w:r w:rsidR="00640FB0">
        <w:rPr>
          <w:lang w:val="en-US"/>
        </w:rPr>
        <w:t>–</w:t>
      </w:r>
      <w:r w:rsidRPr="008377B4">
        <w:rPr>
          <w:lang w:val="en-US"/>
        </w:rPr>
        <w:t xml:space="preserve"> throughout Germany and internationally. In doing so, we increasingly act as a general contractor and support customers from planning to installation and integration on site." Customers can also expect innovative products and services from the technology leader in MPO multi-fib</w:t>
      </w:r>
      <w:r w:rsidR="008F0DFB">
        <w:rPr>
          <w:lang w:val="en-US"/>
        </w:rPr>
        <w:t>r</w:t>
      </w:r>
      <w:r w:rsidRPr="008377B4">
        <w:rPr>
          <w:lang w:val="en-US"/>
        </w:rPr>
        <w:t xml:space="preserve">e technology in the future: </w:t>
      </w:r>
      <w:r w:rsidR="00640FB0">
        <w:rPr>
          <w:lang w:val="en-US"/>
        </w:rPr>
        <w:t>f</w:t>
      </w:r>
      <w:r w:rsidRPr="008377B4">
        <w:rPr>
          <w:lang w:val="en-US"/>
        </w:rPr>
        <w:t xml:space="preserve">or example, </w:t>
      </w:r>
      <w:proofErr w:type="spellStart"/>
      <w:r w:rsidRPr="008377B4">
        <w:rPr>
          <w:lang w:val="en-US"/>
        </w:rPr>
        <w:t>tde</w:t>
      </w:r>
      <w:proofErr w:type="spellEnd"/>
      <w:r w:rsidRPr="008377B4">
        <w:rPr>
          <w:lang w:val="en-US"/>
        </w:rPr>
        <w:t xml:space="preserve"> will launch </w:t>
      </w:r>
      <w:proofErr w:type="spellStart"/>
      <w:r w:rsidRPr="008377B4">
        <w:rPr>
          <w:lang w:val="en-US"/>
        </w:rPr>
        <w:t>Fibercast</w:t>
      </w:r>
      <w:proofErr w:type="spellEnd"/>
      <w:r w:rsidRPr="008377B4">
        <w:rPr>
          <w:lang w:val="en-US"/>
        </w:rPr>
        <w:t>, a new digital industry format, during the second quarter of 2021.</w:t>
      </w:r>
    </w:p>
    <w:p w14:paraId="57982A1B" w14:textId="77777777" w:rsidR="0005190F" w:rsidRPr="009D2365" w:rsidRDefault="0005190F">
      <w:pPr>
        <w:spacing w:after="160" w:line="259" w:lineRule="auto"/>
        <w:rPr>
          <w:b/>
          <w:lang w:val="en-US"/>
        </w:rPr>
      </w:pPr>
      <w:r w:rsidRPr="009D2365">
        <w:rPr>
          <w:b/>
          <w:lang w:val="en-US"/>
        </w:rPr>
        <w:br w:type="page"/>
      </w:r>
    </w:p>
    <w:p w14:paraId="6C6B82BC" w14:textId="0322BE2D" w:rsidR="008377B4" w:rsidRDefault="008377B4" w:rsidP="009D0F98">
      <w:pPr>
        <w:rPr>
          <w:b/>
        </w:rPr>
      </w:pPr>
      <w:r>
        <w:rPr>
          <w:b/>
        </w:rPr>
        <w:lastRenderedPageBreak/>
        <w:t>tde Milestones</w:t>
      </w:r>
    </w:p>
    <w:tbl>
      <w:tblPr>
        <w:tblStyle w:val="Tabellenraster"/>
        <w:tblW w:w="0" w:type="auto"/>
        <w:tblLook w:val="04A0" w:firstRow="1" w:lastRow="0" w:firstColumn="1" w:lastColumn="0" w:noHBand="0" w:noVBand="1"/>
      </w:tblPr>
      <w:tblGrid>
        <w:gridCol w:w="1413"/>
        <w:gridCol w:w="7647"/>
      </w:tblGrid>
      <w:tr w:rsidR="00131840" w:rsidRPr="00D13268" w14:paraId="7F798CD6" w14:textId="77777777" w:rsidTr="00131840">
        <w:tc>
          <w:tcPr>
            <w:tcW w:w="1413" w:type="dxa"/>
          </w:tcPr>
          <w:p w14:paraId="27B4E3CC" w14:textId="785CED9A" w:rsidR="00131840" w:rsidRDefault="00131840" w:rsidP="00131840">
            <w:pPr>
              <w:rPr>
                <w:b/>
              </w:rPr>
            </w:pPr>
            <w:r>
              <w:rPr>
                <w:b/>
              </w:rPr>
              <w:t>2021</w:t>
            </w:r>
          </w:p>
        </w:tc>
        <w:tc>
          <w:tcPr>
            <w:tcW w:w="7647" w:type="dxa"/>
          </w:tcPr>
          <w:p w14:paraId="6193D5AF" w14:textId="47AEF66B" w:rsidR="00131840" w:rsidRPr="0005190F" w:rsidRDefault="008377B4" w:rsidP="008F0DFB">
            <w:pPr>
              <w:rPr>
                <w:lang w:val="en-US"/>
              </w:rPr>
            </w:pPr>
            <w:r w:rsidRPr="008377B4">
              <w:rPr>
                <w:lang w:val="en-US"/>
              </w:rPr>
              <w:t xml:space="preserve">Company anniversary: 30 years </w:t>
            </w:r>
            <w:r w:rsidR="00DC5E5B">
              <w:rPr>
                <w:lang w:val="en-US"/>
              </w:rPr>
              <w:t xml:space="preserve">of </w:t>
            </w:r>
            <w:r w:rsidRPr="008377B4">
              <w:rPr>
                <w:lang w:val="en-US"/>
              </w:rPr>
              <w:t xml:space="preserve">tde </w:t>
            </w:r>
            <w:r w:rsidR="00DC5E5B">
              <w:rPr>
                <w:lang w:val="en-US"/>
              </w:rPr>
              <w:t>–</w:t>
            </w:r>
            <w:r w:rsidRPr="008377B4">
              <w:rPr>
                <w:lang w:val="en-US"/>
              </w:rPr>
              <w:t xml:space="preserve"> trans data elektronik GmbH</w:t>
            </w:r>
          </w:p>
        </w:tc>
      </w:tr>
      <w:tr w:rsidR="00131840" w:rsidRPr="00D13268" w14:paraId="41571D23" w14:textId="77777777" w:rsidTr="003869C6">
        <w:tc>
          <w:tcPr>
            <w:tcW w:w="1413" w:type="dxa"/>
          </w:tcPr>
          <w:p w14:paraId="202CB096" w14:textId="201B4D99" w:rsidR="00131840" w:rsidRDefault="00131840" w:rsidP="00131840">
            <w:pPr>
              <w:rPr>
                <w:b/>
              </w:rPr>
            </w:pPr>
            <w:r>
              <w:rPr>
                <w:b/>
              </w:rPr>
              <w:t>2020</w:t>
            </w:r>
          </w:p>
        </w:tc>
        <w:tc>
          <w:tcPr>
            <w:tcW w:w="7647" w:type="dxa"/>
          </w:tcPr>
          <w:p w14:paraId="6D7F2263" w14:textId="1E304129" w:rsidR="008377B4" w:rsidRPr="008377B4" w:rsidRDefault="008377B4" w:rsidP="008F0DFB">
            <w:pPr>
              <w:rPr>
                <w:b/>
                <w:lang w:val="en-US"/>
              </w:rPr>
            </w:pPr>
            <w:r w:rsidRPr="008377B4">
              <w:rPr>
                <w:lang w:val="en-US"/>
              </w:rPr>
              <w:t xml:space="preserve">Revision and redesign of the </w:t>
            </w:r>
            <w:proofErr w:type="spellStart"/>
            <w:r w:rsidRPr="008377B4">
              <w:rPr>
                <w:lang w:val="en-US"/>
              </w:rPr>
              <w:t>tde</w:t>
            </w:r>
            <w:proofErr w:type="spellEnd"/>
            <w:r w:rsidRPr="008377B4">
              <w:rPr>
                <w:lang w:val="en-US"/>
              </w:rPr>
              <w:t xml:space="preserve"> </w:t>
            </w:r>
            <w:proofErr w:type="spellStart"/>
            <w:r w:rsidRPr="008377B4">
              <w:rPr>
                <w:lang w:val="en-US"/>
              </w:rPr>
              <w:t>webshop</w:t>
            </w:r>
            <w:proofErr w:type="spellEnd"/>
            <w:r w:rsidRPr="008377B4">
              <w:rPr>
                <w:lang w:val="en-US"/>
              </w:rPr>
              <w:t xml:space="preserve"> with integration of the industry's unique fib</w:t>
            </w:r>
            <w:r w:rsidR="008F0DFB">
              <w:rPr>
                <w:lang w:val="en-US"/>
              </w:rPr>
              <w:t>re</w:t>
            </w:r>
            <w:r w:rsidRPr="008377B4">
              <w:rPr>
                <w:lang w:val="en-US"/>
              </w:rPr>
              <w:t xml:space="preserve"> optic cable and splice box configurators with </w:t>
            </w:r>
            <w:proofErr w:type="spellStart"/>
            <w:r w:rsidRPr="008377B4">
              <w:rPr>
                <w:lang w:val="en-US"/>
              </w:rPr>
              <w:t>visuali</w:t>
            </w:r>
            <w:r w:rsidR="00DC5E5B">
              <w:rPr>
                <w:lang w:val="en-US"/>
              </w:rPr>
              <w:t>s</w:t>
            </w:r>
            <w:r w:rsidRPr="008377B4">
              <w:rPr>
                <w:lang w:val="en-US"/>
              </w:rPr>
              <w:t>ation</w:t>
            </w:r>
            <w:proofErr w:type="spellEnd"/>
          </w:p>
        </w:tc>
      </w:tr>
      <w:tr w:rsidR="00131840" w:rsidRPr="00D13268" w14:paraId="1A829AD5" w14:textId="77777777" w:rsidTr="003869C6">
        <w:tc>
          <w:tcPr>
            <w:tcW w:w="1413" w:type="dxa"/>
          </w:tcPr>
          <w:p w14:paraId="46059437" w14:textId="0A752A54" w:rsidR="00131840" w:rsidRDefault="00131840" w:rsidP="00131840">
            <w:pPr>
              <w:rPr>
                <w:b/>
              </w:rPr>
            </w:pPr>
            <w:r>
              <w:rPr>
                <w:b/>
              </w:rPr>
              <w:t>2019</w:t>
            </w:r>
          </w:p>
        </w:tc>
        <w:tc>
          <w:tcPr>
            <w:tcW w:w="7647" w:type="dxa"/>
          </w:tcPr>
          <w:p w14:paraId="5F13ED47" w14:textId="3C409703" w:rsidR="008377B4" w:rsidRPr="008377B4" w:rsidRDefault="008377B4" w:rsidP="008F0DFB">
            <w:pPr>
              <w:rPr>
                <w:bCs/>
                <w:highlight w:val="yellow"/>
                <w:lang w:val="en-US"/>
              </w:rPr>
            </w:pPr>
            <w:r w:rsidRPr="008377B4">
              <w:rPr>
                <w:bCs/>
                <w:lang w:val="en-US"/>
              </w:rPr>
              <w:t xml:space="preserve">tde expands market presence in Switzerland with the help of </w:t>
            </w:r>
            <w:r w:rsidR="00DC5E5B">
              <w:rPr>
                <w:bCs/>
                <w:lang w:val="en-US"/>
              </w:rPr>
              <w:t xml:space="preserve">Swiss </w:t>
            </w:r>
            <w:r w:rsidRPr="008377B4">
              <w:rPr>
                <w:bCs/>
                <w:lang w:val="en-US"/>
              </w:rPr>
              <w:t xml:space="preserve">specialist distributor </w:t>
            </w:r>
            <w:proofErr w:type="spellStart"/>
            <w:r w:rsidRPr="008377B4">
              <w:rPr>
                <w:bCs/>
                <w:lang w:val="en-US"/>
              </w:rPr>
              <w:t>Arimax</w:t>
            </w:r>
            <w:proofErr w:type="spellEnd"/>
            <w:r w:rsidRPr="008377B4">
              <w:rPr>
                <w:bCs/>
                <w:lang w:val="en-US"/>
              </w:rPr>
              <w:t xml:space="preserve"> </w:t>
            </w:r>
          </w:p>
        </w:tc>
      </w:tr>
      <w:tr w:rsidR="00131840" w:rsidRPr="00D13268" w14:paraId="4DD178D8" w14:textId="77777777" w:rsidTr="003869C6">
        <w:tc>
          <w:tcPr>
            <w:tcW w:w="1413" w:type="dxa"/>
          </w:tcPr>
          <w:p w14:paraId="7AEEBC12" w14:textId="01557BFE" w:rsidR="00131840" w:rsidRDefault="00131840" w:rsidP="00131840">
            <w:pPr>
              <w:rPr>
                <w:b/>
              </w:rPr>
            </w:pPr>
            <w:r>
              <w:rPr>
                <w:b/>
              </w:rPr>
              <w:t>2018</w:t>
            </w:r>
          </w:p>
        </w:tc>
        <w:tc>
          <w:tcPr>
            <w:tcW w:w="7647" w:type="dxa"/>
          </w:tcPr>
          <w:p w14:paraId="33B1FA06" w14:textId="11789060" w:rsidR="008377B4" w:rsidRPr="008377B4" w:rsidRDefault="008377B4" w:rsidP="008F0DFB">
            <w:pPr>
              <w:rPr>
                <w:lang w:val="en-US"/>
              </w:rPr>
            </w:pPr>
            <w:r w:rsidRPr="008377B4">
              <w:rPr>
                <w:lang w:val="en-US"/>
              </w:rPr>
              <w:t>Upgraded and certified to ISO 9001:2015, ISO 14001:2015 and TL9000</w:t>
            </w:r>
            <w:r w:rsidRPr="008377B4">
              <w:rPr>
                <w:lang w:val="en-US"/>
              </w:rPr>
              <w:br/>
              <w:t>Auditing by Deutsche Telekom</w:t>
            </w:r>
            <w:r>
              <w:rPr>
                <w:lang w:val="en-US"/>
              </w:rPr>
              <w:br/>
            </w:r>
            <w:r w:rsidRPr="008377B4">
              <w:rPr>
                <w:lang w:val="en-US"/>
              </w:rPr>
              <w:t>Auditing by Deutsche Bahn</w:t>
            </w:r>
          </w:p>
        </w:tc>
      </w:tr>
      <w:tr w:rsidR="00131840" w:rsidRPr="00D13268" w14:paraId="3F41B963" w14:textId="77777777" w:rsidTr="003869C6">
        <w:tc>
          <w:tcPr>
            <w:tcW w:w="1413" w:type="dxa"/>
          </w:tcPr>
          <w:p w14:paraId="31456CC4" w14:textId="4EBEB93C" w:rsidR="00131840" w:rsidRPr="00D9338E" w:rsidRDefault="00131840" w:rsidP="00131840">
            <w:pPr>
              <w:rPr>
                <w:b/>
                <w:color w:val="FF0000"/>
              </w:rPr>
            </w:pPr>
            <w:r w:rsidRPr="003413BC">
              <w:rPr>
                <w:b/>
              </w:rPr>
              <w:t>2017</w:t>
            </w:r>
          </w:p>
        </w:tc>
        <w:tc>
          <w:tcPr>
            <w:tcW w:w="7647" w:type="dxa"/>
          </w:tcPr>
          <w:p w14:paraId="50637675" w14:textId="0B3A2174" w:rsidR="008377B4" w:rsidRPr="008377B4" w:rsidRDefault="008377B4" w:rsidP="008F0DFB">
            <w:pPr>
              <w:spacing w:after="0"/>
              <w:rPr>
                <w:lang w:val="en-US"/>
              </w:rPr>
            </w:pPr>
            <w:r w:rsidRPr="008377B4">
              <w:rPr>
                <w:lang w:val="en-US"/>
              </w:rPr>
              <w:t xml:space="preserve">A second logistic and production </w:t>
            </w:r>
            <w:r w:rsidR="00DC5E5B">
              <w:rPr>
                <w:lang w:val="en-US"/>
              </w:rPr>
              <w:t>hall</w:t>
            </w:r>
            <w:r w:rsidR="00DC5E5B" w:rsidRPr="008377B4">
              <w:rPr>
                <w:lang w:val="en-US"/>
              </w:rPr>
              <w:t> </w:t>
            </w:r>
            <w:r w:rsidRPr="008377B4">
              <w:rPr>
                <w:lang w:val="en-US"/>
              </w:rPr>
              <w:t xml:space="preserve">is set up and </w:t>
            </w:r>
            <w:r w:rsidR="00DC5E5B">
              <w:rPr>
                <w:lang w:val="en-US"/>
              </w:rPr>
              <w:t>taken into operation</w:t>
            </w:r>
            <w:r w:rsidR="00DC5E5B" w:rsidRPr="008377B4">
              <w:rPr>
                <w:lang w:val="en-US"/>
              </w:rPr>
              <w:t xml:space="preserve"> </w:t>
            </w:r>
            <w:r w:rsidRPr="008377B4">
              <w:rPr>
                <w:lang w:val="en-US"/>
              </w:rPr>
              <w:t xml:space="preserve">in </w:t>
            </w:r>
            <w:proofErr w:type="spellStart"/>
            <w:r w:rsidRPr="008377B4">
              <w:rPr>
                <w:lang w:val="en-US"/>
              </w:rPr>
              <w:t>Bippen</w:t>
            </w:r>
            <w:proofErr w:type="spellEnd"/>
            <w:r w:rsidR="0005190F">
              <w:rPr>
                <w:lang w:val="en-US"/>
              </w:rPr>
              <w:t>/</w:t>
            </w:r>
            <w:proofErr w:type="spellStart"/>
            <w:r w:rsidR="0005190F">
              <w:rPr>
                <w:lang w:val="en-US"/>
              </w:rPr>
              <w:t>Ohrte</w:t>
            </w:r>
            <w:proofErr w:type="spellEnd"/>
            <w:r w:rsidRPr="008377B4">
              <w:rPr>
                <w:lang w:val="en-US"/>
              </w:rPr>
              <w:t> </w:t>
            </w:r>
          </w:p>
          <w:p w14:paraId="4F6A6216" w14:textId="6AB61ED7" w:rsidR="008377B4" w:rsidRPr="008377B4" w:rsidRDefault="008377B4" w:rsidP="008F0DFB">
            <w:pPr>
              <w:spacing w:after="0"/>
              <w:rPr>
                <w:lang w:val="en-US"/>
              </w:rPr>
            </w:pPr>
          </w:p>
        </w:tc>
      </w:tr>
      <w:tr w:rsidR="00131840" w:rsidRPr="00D13268" w14:paraId="3466B340" w14:textId="77777777" w:rsidTr="003869C6">
        <w:tc>
          <w:tcPr>
            <w:tcW w:w="1413" w:type="dxa"/>
          </w:tcPr>
          <w:p w14:paraId="5BB3ED27" w14:textId="28548D6F" w:rsidR="00131840" w:rsidRDefault="00131840" w:rsidP="00131840">
            <w:pPr>
              <w:rPr>
                <w:b/>
              </w:rPr>
            </w:pPr>
            <w:r>
              <w:rPr>
                <w:b/>
              </w:rPr>
              <w:t>2016</w:t>
            </w:r>
          </w:p>
        </w:tc>
        <w:tc>
          <w:tcPr>
            <w:tcW w:w="7647" w:type="dxa"/>
          </w:tcPr>
          <w:p w14:paraId="3BEAA91E" w14:textId="019CFACF" w:rsidR="00131840" w:rsidRPr="0005190F" w:rsidRDefault="008377B4" w:rsidP="008F0DFB">
            <w:pPr>
              <w:spacing w:after="0"/>
              <w:rPr>
                <w:lang w:val="en-US"/>
              </w:rPr>
            </w:pPr>
            <w:r w:rsidRPr="008377B4">
              <w:rPr>
                <w:lang w:val="en-US"/>
              </w:rPr>
              <w:t>Market introduction of the tDF tde Distribution Frame System (ODF)</w:t>
            </w:r>
            <w:r w:rsidR="008F0DFB">
              <w:rPr>
                <w:lang w:val="en-US"/>
              </w:rPr>
              <w:br/>
            </w:r>
            <w:r w:rsidRPr="008377B4">
              <w:rPr>
                <w:lang w:val="en-US"/>
              </w:rPr>
              <w:t xml:space="preserve">Company anniversary: 25 years </w:t>
            </w:r>
            <w:r w:rsidR="00C57B3B">
              <w:rPr>
                <w:lang w:val="en-US"/>
              </w:rPr>
              <w:t xml:space="preserve">of </w:t>
            </w:r>
            <w:r w:rsidRPr="008377B4">
              <w:rPr>
                <w:lang w:val="en-US"/>
              </w:rPr>
              <w:t xml:space="preserve">tde </w:t>
            </w:r>
            <w:r w:rsidR="00C57B3B">
              <w:rPr>
                <w:lang w:val="en-US"/>
              </w:rPr>
              <w:t>–</w:t>
            </w:r>
            <w:r w:rsidRPr="008377B4">
              <w:rPr>
                <w:lang w:val="en-US"/>
              </w:rPr>
              <w:t xml:space="preserve"> trans data </w:t>
            </w:r>
            <w:r w:rsidR="00297077">
              <w:rPr>
                <w:lang w:val="en-US"/>
              </w:rPr>
              <w:t>e</w:t>
            </w:r>
            <w:r w:rsidRPr="008377B4">
              <w:rPr>
                <w:lang w:val="en-US"/>
              </w:rPr>
              <w:t>lektronik GmbH</w:t>
            </w:r>
            <w:r w:rsidR="008F0DFB" w:rsidRPr="008F0DFB">
              <w:rPr>
                <w:lang w:val="en-US"/>
              </w:rPr>
              <w:br/>
            </w:r>
            <w:r w:rsidRPr="008377B4">
              <w:rPr>
                <w:lang w:val="en-US"/>
              </w:rPr>
              <w:t>Purchase of new business premises as a sales office in Dortmund</w:t>
            </w:r>
            <w:r w:rsidR="008F0DFB" w:rsidRPr="008F0DFB">
              <w:rPr>
                <w:lang w:val="en-US"/>
              </w:rPr>
              <w:br/>
            </w:r>
          </w:p>
        </w:tc>
      </w:tr>
      <w:tr w:rsidR="00131840" w:rsidRPr="00D13268" w14:paraId="1175BBE8" w14:textId="77777777" w:rsidTr="003869C6">
        <w:tc>
          <w:tcPr>
            <w:tcW w:w="1413" w:type="dxa"/>
          </w:tcPr>
          <w:p w14:paraId="62F75F70" w14:textId="252D134A" w:rsidR="00131840" w:rsidRDefault="00131840" w:rsidP="00131840">
            <w:pPr>
              <w:rPr>
                <w:b/>
              </w:rPr>
            </w:pPr>
            <w:r>
              <w:rPr>
                <w:b/>
              </w:rPr>
              <w:t>2015</w:t>
            </w:r>
          </w:p>
        </w:tc>
        <w:tc>
          <w:tcPr>
            <w:tcW w:w="7647" w:type="dxa"/>
          </w:tcPr>
          <w:p w14:paraId="47152693" w14:textId="1625E8D2" w:rsidR="008377B4" w:rsidRPr="008377B4" w:rsidRDefault="008377B4" w:rsidP="008F0DFB">
            <w:pPr>
              <w:rPr>
                <w:b/>
                <w:lang w:val="en-US"/>
              </w:rPr>
            </w:pPr>
            <w:r>
              <w:rPr>
                <w:lang w:val="en"/>
              </w:rPr>
              <w:t xml:space="preserve">tde is the first network specialist to offer a Europe-wide B2B </w:t>
            </w:r>
            <w:proofErr w:type="spellStart"/>
            <w:r>
              <w:rPr>
                <w:lang w:val="en"/>
              </w:rPr>
              <w:t>webshop</w:t>
            </w:r>
            <w:proofErr w:type="spellEnd"/>
          </w:p>
        </w:tc>
      </w:tr>
      <w:tr w:rsidR="00131840" w:rsidRPr="00D13268" w14:paraId="3934FFE2" w14:textId="77777777" w:rsidTr="008377B4">
        <w:trPr>
          <w:trHeight w:val="416"/>
        </w:trPr>
        <w:tc>
          <w:tcPr>
            <w:tcW w:w="1413" w:type="dxa"/>
          </w:tcPr>
          <w:p w14:paraId="6CB67956" w14:textId="77777777" w:rsidR="00131840" w:rsidRDefault="00131840" w:rsidP="00131840">
            <w:pPr>
              <w:rPr>
                <w:b/>
              </w:rPr>
            </w:pPr>
            <w:r>
              <w:rPr>
                <w:b/>
              </w:rPr>
              <w:t>2014</w:t>
            </w:r>
          </w:p>
        </w:tc>
        <w:tc>
          <w:tcPr>
            <w:tcW w:w="7647" w:type="dxa"/>
          </w:tcPr>
          <w:p w14:paraId="7633B85F" w14:textId="2E55E7A7" w:rsidR="00131840" w:rsidRPr="008377B4" w:rsidRDefault="008377B4" w:rsidP="008F0DFB">
            <w:pPr>
              <w:spacing w:after="0"/>
              <w:rPr>
                <w:b/>
                <w:lang w:val="en-US"/>
              </w:rPr>
            </w:pPr>
            <w:r w:rsidRPr="008377B4">
              <w:rPr>
                <w:lang w:val="en-US"/>
              </w:rPr>
              <w:t xml:space="preserve">Market introduction of the </w:t>
            </w:r>
            <w:proofErr w:type="spellStart"/>
            <w:r w:rsidRPr="008377B4">
              <w:rPr>
                <w:lang w:val="en-US"/>
              </w:rPr>
              <w:t>tML</w:t>
            </w:r>
            <w:proofErr w:type="spellEnd"/>
            <w:r w:rsidRPr="008377B4">
              <w:rPr>
                <w:lang w:val="en-US"/>
              </w:rPr>
              <w:t xml:space="preserve">® </w:t>
            </w:r>
            <w:proofErr w:type="spellStart"/>
            <w:r w:rsidRPr="008377B4">
              <w:rPr>
                <w:lang w:val="en-US"/>
              </w:rPr>
              <w:t>Xtended</w:t>
            </w:r>
            <w:proofErr w:type="spellEnd"/>
            <w:r w:rsidRPr="008377B4">
              <w:rPr>
                <w:lang w:val="en-US"/>
              </w:rPr>
              <w:t xml:space="preserve"> cabling </w:t>
            </w:r>
            <w:r w:rsidR="00297077">
              <w:rPr>
                <w:lang w:val="en-US"/>
              </w:rPr>
              <w:t>s</w:t>
            </w:r>
            <w:r w:rsidRPr="008377B4">
              <w:rPr>
                <w:lang w:val="en-US"/>
              </w:rPr>
              <w:t>ystem</w:t>
            </w:r>
            <w:r>
              <w:rPr>
                <w:lang w:val="en-US"/>
              </w:rPr>
              <w:br/>
            </w:r>
            <w:r w:rsidRPr="008377B4">
              <w:rPr>
                <w:lang w:val="en-US"/>
              </w:rPr>
              <w:t>Market introduction of the tML®</w:t>
            </w:r>
            <w:r w:rsidR="00297077">
              <w:rPr>
                <w:lang w:val="en-US"/>
              </w:rPr>
              <w:t>-</w:t>
            </w:r>
            <w:r w:rsidRPr="008377B4">
              <w:rPr>
                <w:lang w:val="en-US"/>
              </w:rPr>
              <w:t xml:space="preserve">24 cabling </w:t>
            </w:r>
            <w:r w:rsidR="00297077">
              <w:rPr>
                <w:lang w:val="en-US"/>
              </w:rPr>
              <w:t>s</w:t>
            </w:r>
            <w:r w:rsidRPr="008377B4">
              <w:rPr>
                <w:lang w:val="en-US"/>
              </w:rPr>
              <w:t>ystem</w:t>
            </w:r>
            <w:r w:rsidRPr="008F0DFB">
              <w:rPr>
                <w:lang w:val="en-US"/>
              </w:rPr>
              <w:br/>
            </w:r>
            <w:r w:rsidRPr="008377B4">
              <w:rPr>
                <w:lang w:val="en-US"/>
              </w:rPr>
              <w:t>Introduction of web-based FO patch cords and splice box configurators</w:t>
            </w:r>
            <w:r w:rsidRPr="008F0DFB">
              <w:rPr>
                <w:lang w:val="en-US"/>
              </w:rPr>
              <w:br/>
            </w:r>
            <w:r w:rsidRPr="008377B4">
              <w:rPr>
                <w:lang w:val="en-US"/>
              </w:rPr>
              <w:t>Establishment of own road show concept "(R)Evolution of the nets"</w:t>
            </w:r>
            <w:r w:rsidRPr="008F0DFB">
              <w:rPr>
                <w:lang w:val="en-US"/>
              </w:rPr>
              <w:br/>
            </w:r>
            <w:r w:rsidRPr="008377B4">
              <w:rPr>
                <w:lang w:val="en-US"/>
              </w:rPr>
              <w:t>Participation in international committee IEC SC 86B</w:t>
            </w:r>
          </w:p>
        </w:tc>
      </w:tr>
      <w:tr w:rsidR="00131840" w:rsidRPr="00D13268" w14:paraId="41ACB5F3" w14:textId="77777777" w:rsidTr="003869C6">
        <w:tc>
          <w:tcPr>
            <w:tcW w:w="1413" w:type="dxa"/>
          </w:tcPr>
          <w:p w14:paraId="4149662E" w14:textId="77777777" w:rsidR="00131840" w:rsidRDefault="00131840" w:rsidP="00131840">
            <w:pPr>
              <w:rPr>
                <w:b/>
              </w:rPr>
            </w:pPr>
            <w:r>
              <w:rPr>
                <w:b/>
              </w:rPr>
              <w:t>2013</w:t>
            </w:r>
          </w:p>
        </w:tc>
        <w:tc>
          <w:tcPr>
            <w:tcW w:w="7647" w:type="dxa"/>
          </w:tcPr>
          <w:p w14:paraId="07C79500" w14:textId="30A4CE48" w:rsidR="008377B4" w:rsidRPr="008377B4" w:rsidRDefault="008377B4" w:rsidP="008F0DFB">
            <w:pPr>
              <w:spacing w:after="0"/>
              <w:rPr>
                <w:lang w:val="en-US"/>
              </w:rPr>
            </w:pPr>
            <w:r w:rsidRPr="008377B4">
              <w:rPr>
                <w:lang w:val="en-US"/>
              </w:rPr>
              <w:t xml:space="preserve">Expansion of the </w:t>
            </w:r>
            <w:r w:rsidR="00297077">
              <w:rPr>
                <w:lang w:val="en-US"/>
              </w:rPr>
              <w:t>tde</w:t>
            </w:r>
            <w:r w:rsidR="00297077" w:rsidRPr="008377B4">
              <w:rPr>
                <w:lang w:val="en-US"/>
              </w:rPr>
              <w:t xml:space="preserve"> </w:t>
            </w:r>
            <w:r w:rsidRPr="008377B4">
              <w:rPr>
                <w:lang w:val="en-US"/>
              </w:rPr>
              <w:t>service offering with system integration</w:t>
            </w:r>
          </w:p>
          <w:p w14:paraId="1B0248BA" w14:textId="3D8A671D" w:rsidR="008377B4" w:rsidRPr="008377B4" w:rsidRDefault="008377B4" w:rsidP="008F0DFB">
            <w:pPr>
              <w:spacing w:after="0"/>
              <w:rPr>
                <w:b/>
                <w:lang w:val="en-US"/>
              </w:rPr>
            </w:pPr>
            <w:r w:rsidRPr="008377B4">
              <w:rPr>
                <w:lang w:val="en-US"/>
              </w:rPr>
              <w:t>Market introduction of the tBL® cabling system</w:t>
            </w:r>
            <w:r w:rsidRPr="008377B4">
              <w:rPr>
                <w:lang w:val="en-US"/>
              </w:rPr>
              <w:br/>
            </w:r>
            <w:r w:rsidR="008F0DFB" w:rsidRPr="008F0DFB">
              <w:rPr>
                <w:lang w:val="en-US"/>
              </w:rPr>
              <w:t xml:space="preserve">Certified for </w:t>
            </w:r>
            <w:r w:rsidRPr="008377B4">
              <w:rPr>
                <w:lang w:val="en-US"/>
              </w:rPr>
              <w:t xml:space="preserve">PRIZM® </w:t>
            </w:r>
            <w:proofErr w:type="spellStart"/>
            <w:r w:rsidRPr="008377B4">
              <w:rPr>
                <w:lang w:val="en-US"/>
              </w:rPr>
              <w:t>LightTurn</w:t>
            </w:r>
            <w:proofErr w:type="spellEnd"/>
            <w:r w:rsidRPr="008377B4">
              <w:rPr>
                <w:lang w:val="en-US"/>
              </w:rPr>
              <w:t>® by USCONEC</w:t>
            </w:r>
          </w:p>
        </w:tc>
      </w:tr>
      <w:tr w:rsidR="00131840" w:rsidRPr="00D13268" w14:paraId="0261A268" w14:textId="77777777" w:rsidTr="003869C6">
        <w:tc>
          <w:tcPr>
            <w:tcW w:w="1413" w:type="dxa"/>
          </w:tcPr>
          <w:p w14:paraId="19CD15D4" w14:textId="77777777" w:rsidR="00131840" w:rsidRDefault="00131840" w:rsidP="00131840">
            <w:pPr>
              <w:rPr>
                <w:b/>
              </w:rPr>
            </w:pPr>
            <w:r>
              <w:rPr>
                <w:b/>
              </w:rPr>
              <w:t>2012</w:t>
            </w:r>
          </w:p>
        </w:tc>
        <w:tc>
          <w:tcPr>
            <w:tcW w:w="7647" w:type="dxa"/>
          </w:tcPr>
          <w:p w14:paraId="6B4CF50B" w14:textId="6F824F8C" w:rsidR="00131840" w:rsidRPr="008377B4" w:rsidRDefault="008377B4" w:rsidP="008F0DFB">
            <w:pPr>
              <w:spacing w:after="120"/>
              <w:rPr>
                <w:b/>
                <w:lang w:val="en-US"/>
              </w:rPr>
            </w:pPr>
            <w:r w:rsidRPr="008377B4">
              <w:rPr>
                <w:lang w:val="en-US"/>
              </w:rPr>
              <w:t>Participation in international committee CENELEC TC 86BXA/WG 01</w:t>
            </w:r>
            <w:r w:rsidRPr="008377B4">
              <w:rPr>
                <w:lang w:val="en-US"/>
              </w:rPr>
              <w:br/>
              <w:t xml:space="preserve">Market introduction of the </w:t>
            </w:r>
            <w:proofErr w:type="spellStart"/>
            <w:r w:rsidRPr="008377B4">
              <w:rPr>
                <w:lang w:val="en-US"/>
              </w:rPr>
              <w:t>tSML</w:t>
            </w:r>
            <w:proofErr w:type="spellEnd"/>
            <w:r w:rsidRPr="008377B4">
              <w:rPr>
                <w:lang w:val="en-US"/>
              </w:rPr>
              <w:t xml:space="preserve"> cabling system</w:t>
            </w:r>
          </w:p>
        </w:tc>
      </w:tr>
      <w:tr w:rsidR="00131840" w:rsidRPr="00D13268" w14:paraId="02BF252B" w14:textId="77777777" w:rsidTr="003869C6">
        <w:tc>
          <w:tcPr>
            <w:tcW w:w="1413" w:type="dxa"/>
          </w:tcPr>
          <w:p w14:paraId="76A0298C" w14:textId="77777777" w:rsidR="00131840" w:rsidRDefault="00131840" w:rsidP="00131840">
            <w:pPr>
              <w:rPr>
                <w:b/>
              </w:rPr>
            </w:pPr>
            <w:r>
              <w:rPr>
                <w:b/>
              </w:rPr>
              <w:t>2011</w:t>
            </w:r>
          </w:p>
        </w:tc>
        <w:tc>
          <w:tcPr>
            <w:tcW w:w="7647" w:type="dxa"/>
          </w:tcPr>
          <w:p w14:paraId="7AF0CB96" w14:textId="3B00780A" w:rsidR="00131840" w:rsidRPr="008377B4" w:rsidRDefault="008377B4" w:rsidP="008F0DFB">
            <w:pPr>
              <w:rPr>
                <w:b/>
                <w:lang w:val="en-US"/>
              </w:rPr>
            </w:pPr>
            <w:r w:rsidRPr="008377B4">
              <w:rPr>
                <w:lang w:val="en-US"/>
              </w:rPr>
              <w:t xml:space="preserve">Official Endorser of the EU Code of Conduct for Data </w:t>
            </w:r>
            <w:proofErr w:type="spellStart"/>
            <w:r w:rsidRPr="008377B4">
              <w:rPr>
                <w:lang w:val="en-US"/>
              </w:rPr>
              <w:t>Centres</w:t>
            </w:r>
            <w:proofErr w:type="spellEnd"/>
          </w:p>
        </w:tc>
      </w:tr>
      <w:tr w:rsidR="00131840" w:rsidRPr="00DD1B74" w14:paraId="7C842C48" w14:textId="77777777" w:rsidTr="003869C6">
        <w:tc>
          <w:tcPr>
            <w:tcW w:w="1413" w:type="dxa"/>
          </w:tcPr>
          <w:p w14:paraId="7A0196D8" w14:textId="77777777" w:rsidR="00131840" w:rsidRDefault="00131840" w:rsidP="00131840">
            <w:pPr>
              <w:rPr>
                <w:b/>
              </w:rPr>
            </w:pPr>
            <w:r>
              <w:rPr>
                <w:b/>
              </w:rPr>
              <w:t>2010</w:t>
            </w:r>
          </w:p>
        </w:tc>
        <w:tc>
          <w:tcPr>
            <w:tcW w:w="7647" w:type="dxa"/>
          </w:tcPr>
          <w:p w14:paraId="154B157D" w14:textId="01A29DE7" w:rsidR="00131840" w:rsidRPr="008377B4" w:rsidRDefault="008377B4" w:rsidP="008F0DFB">
            <w:pPr>
              <w:rPr>
                <w:b/>
                <w:lang w:val="en-US"/>
              </w:rPr>
            </w:pPr>
            <w:r w:rsidRPr="008377B4">
              <w:rPr>
                <w:lang w:val="en-US"/>
              </w:rPr>
              <w:t>Auditing by  Deutsche Telekom</w:t>
            </w:r>
          </w:p>
        </w:tc>
      </w:tr>
      <w:tr w:rsidR="00131840" w:rsidRPr="00D13268" w14:paraId="2F8B25CB" w14:textId="77777777" w:rsidTr="003869C6">
        <w:tc>
          <w:tcPr>
            <w:tcW w:w="1413" w:type="dxa"/>
          </w:tcPr>
          <w:p w14:paraId="75A3B81F" w14:textId="77777777" w:rsidR="00131840" w:rsidRDefault="00131840" w:rsidP="00131840">
            <w:pPr>
              <w:rPr>
                <w:b/>
              </w:rPr>
            </w:pPr>
            <w:r>
              <w:rPr>
                <w:b/>
              </w:rPr>
              <w:t>2008</w:t>
            </w:r>
          </w:p>
        </w:tc>
        <w:tc>
          <w:tcPr>
            <w:tcW w:w="7647" w:type="dxa"/>
          </w:tcPr>
          <w:p w14:paraId="5ED1BEA2" w14:textId="73D37C8E" w:rsidR="00131840" w:rsidRPr="008F0DFB" w:rsidRDefault="008F0DFB" w:rsidP="008F0DFB">
            <w:pPr>
              <w:spacing w:after="120"/>
              <w:rPr>
                <w:lang w:val="en-US"/>
              </w:rPr>
            </w:pPr>
            <w:r w:rsidRPr="008F0DFB">
              <w:rPr>
                <w:lang w:val="en-US"/>
              </w:rPr>
              <w:t>Participation in DKE/UK 412.7 (FO Connectivity)</w:t>
            </w:r>
            <w:r w:rsidRPr="008F0DFB">
              <w:rPr>
                <w:lang w:val="en-US"/>
              </w:rPr>
              <w:br/>
              <w:t>Market introduction of the tML</w:t>
            </w:r>
            <w:r w:rsidRPr="008F0DFB">
              <w:rPr>
                <w:vertAlign w:val="superscript"/>
                <w:lang w:val="en-US"/>
              </w:rPr>
              <w:t>®</w:t>
            </w:r>
            <w:r w:rsidRPr="008F0DFB">
              <w:rPr>
                <w:lang w:val="en-US"/>
              </w:rPr>
              <w:t xml:space="preserve"> cabling system</w:t>
            </w:r>
          </w:p>
        </w:tc>
      </w:tr>
      <w:tr w:rsidR="00131840" w:rsidRPr="001978F3" w14:paraId="026E82A1" w14:textId="77777777" w:rsidTr="003869C6">
        <w:tc>
          <w:tcPr>
            <w:tcW w:w="1413" w:type="dxa"/>
          </w:tcPr>
          <w:p w14:paraId="0835A787" w14:textId="77777777" w:rsidR="00131840" w:rsidRDefault="00131840" w:rsidP="00131840">
            <w:r w:rsidRPr="00070157">
              <w:rPr>
                <w:b/>
              </w:rPr>
              <w:t>2006</w:t>
            </w:r>
          </w:p>
        </w:tc>
        <w:tc>
          <w:tcPr>
            <w:tcW w:w="7647" w:type="dxa"/>
          </w:tcPr>
          <w:p w14:paraId="0D68A429" w14:textId="54D1745D" w:rsidR="00131840" w:rsidRPr="009D0F98" w:rsidRDefault="008F0DFB" w:rsidP="008F0DFB">
            <w:pPr>
              <w:spacing w:after="120"/>
              <w:rPr>
                <w:lang w:val="nl-NL"/>
              </w:rPr>
            </w:pPr>
            <w:r>
              <w:t>MPO/MTP</w:t>
            </w:r>
            <w:r>
              <w:rPr>
                <w:vertAlign w:val="superscript"/>
              </w:rPr>
              <w:t>®</w:t>
            </w:r>
            <w:r>
              <w:t xml:space="preserve"> </w:t>
            </w:r>
            <w:proofErr w:type="spellStart"/>
            <w:r>
              <w:t>technology</w:t>
            </w:r>
            <w:proofErr w:type="spellEnd"/>
            <w:r>
              <w:t xml:space="preserve"> </w:t>
            </w:r>
            <w:proofErr w:type="spellStart"/>
            <w:r>
              <w:t>tooling</w:t>
            </w:r>
            <w:proofErr w:type="spellEnd"/>
          </w:p>
        </w:tc>
      </w:tr>
      <w:tr w:rsidR="00131840" w:rsidRPr="00D13268" w14:paraId="40D5B4AE" w14:textId="77777777" w:rsidTr="003869C6">
        <w:tc>
          <w:tcPr>
            <w:tcW w:w="1413" w:type="dxa"/>
          </w:tcPr>
          <w:p w14:paraId="649603C6" w14:textId="77777777" w:rsidR="00131840" w:rsidRPr="00070157" w:rsidRDefault="00131840" w:rsidP="00131840">
            <w:pPr>
              <w:spacing w:after="120" w:line="360" w:lineRule="auto"/>
              <w:rPr>
                <w:b/>
              </w:rPr>
            </w:pPr>
            <w:r w:rsidRPr="00070157">
              <w:rPr>
                <w:b/>
              </w:rPr>
              <w:t>2004</w:t>
            </w:r>
          </w:p>
        </w:tc>
        <w:tc>
          <w:tcPr>
            <w:tcW w:w="7647" w:type="dxa"/>
          </w:tcPr>
          <w:p w14:paraId="6A1B9FFE" w14:textId="253EFB40" w:rsidR="00131840" w:rsidRPr="008F0DFB" w:rsidRDefault="008F0DFB" w:rsidP="008F0DFB">
            <w:pPr>
              <w:spacing w:after="120"/>
              <w:rPr>
                <w:lang w:val="en-US"/>
              </w:rPr>
            </w:pPr>
            <w:r w:rsidRPr="008F0DFB">
              <w:rPr>
                <w:lang w:val="en-US"/>
              </w:rPr>
              <w:t>Company-wide introduction of the SAP system</w:t>
            </w:r>
          </w:p>
        </w:tc>
      </w:tr>
      <w:tr w:rsidR="00131840" w:rsidRPr="00D13268" w14:paraId="619AE9A5" w14:textId="77777777" w:rsidTr="003869C6">
        <w:tc>
          <w:tcPr>
            <w:tcW w:w="1413" w:type="dxa"/>
          </w:tcPr>
          <w:p w14:paraId="61815625" w14:textId="77777777" w:rsidR="00131840" w:rsidRPr="00070157" w:rsidRDefault="00131840" w:rsidP="00131840">
            <w:pPr>
              <w:spacing w:after="120" w:line="360" w:lineRule="auto"/>
              <w:rPr>
                <w:b/>
              </w:rPr>
            </w:pPr>
            <w:r w:rsidRPr="00070157">
              <w:rPr>
                <w:b/>
              </w:rPr>
              <w:t>2003</w:t>
            </w:r>
          </w:p>
        </w:tc>
        <w:tc>
          <w:tcPr>
            <w:tcW w:w="7647" w:type="dxa"/>
          </w:tcPr>
          <w:p w14:paraId="39D2A89A" w14:textId="527CB7B8" w:rsidR="00131840" w:rsidRPr="008F0DFB" w:rsidRDefault="008F0DFB" w:rsidP="008F0DFB">
            <w:pPr>
              <w:spacing w:after="120"/>
              <w:rPr>
                <w:lang w:val="en-US"/>
              </w:rPr>
            </w:pPr>
            <w:r w:rsidRPr="008F0DFB">
              <w:rPr>
                <w:lang w:val="en-US"/>
              </w:rPr>
              <w:t>Auditing by R&amp;M for E2000 terminations</w:t>
            </w:r>
          </w:p>
        </w:tc>
      </w:tr>
      <w:tr w:rsidR="00131840" w:rsidRPr="00D13268" w14:paraId="38994FAE" w14:textId="77777777" w:rsidTr="003869C6">
        <w:trPr>
          <w:trHeight w:val="402"/>
        </w:trPr>
        <w:tc>
          <w:tcPr>
            <w:tcW w:w="1413" w:type="dxa"/>
          </w:tcPr>
          <w:p w14:paraId="0F0246A5" w14:textId="77777777" w:rsidR="00131840" w:rsidRPr="00070157" w:rsidRDefault="00131840" w:rsidP="00131840">
            <w:pPr>
              <w:spacing w:after="120" w:line="360" w:lineRule="auto"/>
              <w:rPr>
                <w:b/>
              </w:rPr>
            </w:pPr>
            <w:r w:rsidRPr="00070157">
              <w:rPr>
                <w:b/>
              </w:rPr>
              <w:t>2002</w:t>
            </w:r>
          </w:p>
        </w:tc>
        <w:tc>
          <w:tcPr>
            <w:tcW w:w="7647" w:type="dxa"/>
          </w:tcPr>
          <w:p w14:paraId="655CEA67" w14:textId="68710AC3" w:rsidR="00131840" w:rsidRPr="008F0DFB" w:rsidRDefault="008F0DFB" w:rsidP="008F0DFB">
            <w:pPr>
              <w:spacing w:after="120"/>
              <w:rPr>
                <w:lang w:val="en-US"/>
              </w:rPr>
            </w:pPr>
            <w:r w:rsidRPr="008F0DFB">
              <w:rPr>
                <w:lang w:val="en-US"/>
              </w:rPr>
              <w:t>Additional certification to ISO-14001 and TL-9000</w:t>
            </w:r>
          </w:p>
        </w:tc>
      </w:tr>
      <w:tr w:rsidR="00131840" w:rsidRPr="00D13268" w14:paraId="4313F05A" w14:textId="77777777" w:rsidTr="003869C6">
        <w:tc>
          <w:tcPr>
            <w:tcW w:w="1413" w:type="dxa"/>
          </w:tcPr>
          <w:p w14:paraId="6C928D04" w14:textId="77777777" w:rsidR="00131840" w:rsidRPr="00070157" w:rsidRDefault="00131840" w:rsidP="00131840">
            <w:pPr>
              <w:spacing w:after="120" w:line="360" w:lineRule="auto"/>
              <w:rPr>
                <w:b/>
              </w:rPr>
            </w:pPr>
            <w:r w:rsidRPr="00070157">
              <w:rPr>
                <w:b/>
              </w:rPr>
              <w:lastRenderedPageBreak/>
              <w:t>2001</w:t>
            </w:r>
          </w:p>
        </w:tc>
        <w:tc>
          <w:tcPr>
            <w:tcW w:w="7647" w:type="dxa"/>
          </w:tcPr>
          <w:p w14:paraId="15F3BFDB" w14:textId="7B3EE27B" w:rsidR="00131840" w:rsidRPr="008F0DFB" w:rsidRDefault="008F0DFB" w:rsidP="008F0DFB">
            <w:pPr>
              <w:spacing w:after="120"/>
              <w:rPr>
                <w:lang w:val="en-US"/>
              </w:rPr>
            </w:pPr>
            <w:r w:rsidRPr="008F0DFB">
              <w:rPr>
                <w:lang w:val="en-US"/>
              </w:rPr>
              <w:t>Certified to ISO-9001:2000</w:t>
            </w:r>
            <w:r w:rsidRPr="008F0DFB">
              <w:rPr>
                <w:lang w:val="en-US"/>
              </w:rPr>
              <w:br/>
              <w:t xml:space="preserve">New logistics centre is set up and commissioned in </w:t>
            </w:r>
            <w:proofErr w:type="spellStart"/>
            <w:r w:rsidRPr="008F0DFB">
              <w:rPr>
                <w:lang w:val="en-US"/>
              </w:rPr>
              <w:t>Bippen</w:t>
            </w:r>
            <w:proofErr w:type="spellEnd"/>
            <w:r w:rsidR="00834464">
              <w:rPr>
                <w:lang w:val="en-US"/>
              </w:rPr>
              <w:t>/</w:t>
            </w:r>
            <w:proofErr w:type="spellStart"/>
            <w:r w:rsidRPr="008F0DFB">
              <w:rPr>
                <w:lang w:val="en-US"/>
              </w:rPr>
              <w:t>Ohrte</w:t>
            </w:r>
            <w:proofErr w:type="spellEnd"/>
          </w:p>
        </w:tc>
      </w:tr>
      <w:tr w:rsidR="00131840" w:rsidRPr="00D13268" w14:paraId="4C599248" w14:textId="77777777" w:rsidTr="003869C6">
        <w:tc>
          <w:tcPr>
            <w:tcW w:w="1413" w:type="dxa"/>
          </w:tcPr>
          <w:p w14:paraId="6EF88495" w14:textId="00FF911B" w:rsidR="00131840" w:rsidRDefault="00131840" w:rsidP="00131840">
            <w:pPr>
              <w:spacing w:after="120" w:line="360" w:lineRule="auto"/>
            </w:pPr>
            <w:r w:rsidRPr="001C2CE1">
              <w:rPr>
                <w:b/>
              </w:rPr>
              <w:t>2000</w:t>
            </w:r>
          </w:p>
        </w:tc>
        <w:tc>
          <w:tcPr>
            <w:tcW w:w="7647" w:type="dxa"/>
          </w:tcPr>
          <w:p w14:paraId="4F034ACE" w14:textId="36838B5C" w:rsidR="00131840" w:rsidRPr="008F0DFB" w:rsidRDefault="008F0DFB" w:rsidP="008F0DFB">
            <w:pPr>
              <w:spacing w:after="120"/>
              <w:rPr>
                <w:lang w:val="en-US"/>
              </w:rPr>
            </w:pPr>
            <w:r w:rsidRPr="008F0DFB">
              <w:rPr>
                <w:lang w:val="en-US"/>
              </w:rPr>
              <w:t>Purchase of new business premises as a sales office in Dortmund</w:t>
            </w:r>
          </w:p>
        </w:tc>
      </w:tr>
      <w:tr w:rsidR="00131840" w14:paraId="7BF85244" w14:textId="77777777" w:rsidTr="003869C6">
        <w:tc>
          <w:tcPr>
            <w:tcW w:w="1413" w:type="dxa"/>
          </w:tcPr>
          <w:p w14:paraId="234DBF02" w14:textId="77777777" w:rsidR="00131840" w:rsidRPr="00070157" w:rsidRDefault="00131840" w:rsidP="00131840">
            <w:pPr>
              <w:spacing w:after="120" w:line="360" w:lineRule="auto"/>
              <w:rPr>
                <w:b/>
              </w:rPr>
            </w:pPr>
            <w:r w:rsidRPr="00070157">
              <w:rPr>
                <w:b/>
              </w:rPr>
              <w:t>1999</w:t>
            </w:r>
          </w:p>
        </w:tc>
        <w:tc>
          <w:tcPr>
            <w:tcW w:w="7647" w:type="dxa"/>
          </w:tcPr>
          <w:p w14:paraId="78A563F3" w14:textId="6B5B1AC1" w:rsidR="00131840" w:rsidRDefault="008F0DFB" w:rsidP="008F0DFB">
            <w:pPr>
              <w:spacing w:after="120"/>
            </w:pPr>
            <w:r w:rsidRPr="008F0DFB">
              <w:t>Certified to ISO-9002</w:t>
            </w:r>
          </w:p>
        </w:tc>
      </w:tr>
      <w:tr w:rsidR="00131840" w:rsidRPr="00D13268" w14:paraId="4D0F81B6" w14:textId="77777777" w:rsidTr="003869C6">
        <w:tc>
          <w:tcPr>
            <w:tcW w:w="1413" w:type="dxa"/>
          </w:tcPr>
          <w:p w14:paraId="0078F79D" w14:textId="77777777" w:rsidR="00131840" w:rsidRPr="00070157" w:rsidRDefault="00131840" w:rsidP="00131840">
            <w:pPr>
              <w:spacing w:after="120" w:line="360" w:lineRule="auto"/>
              <w:rPr>
                <w:b/>
              </w:rPr>
            </w:pPr>
            <w:r w:rsidRPr="00070157">
              <w:rPr>
                <w:b/>
              </w:rPr>
              <w:t>1996</w:t>
            </w:r>
          </w:p>
        </w:tc>
        <w:tc>
          <w:tcPr>
            <w:tcW w:w="7647" w:type="dxa"/>
          </w:tcPr>
          <w:p w14:paraId="3BBFEDB8" w14:textId="4CADD6DA" w:rsidR="00131840" w:rsidRPr="008F0DFB" w:rsidRDefault="00CC6486" w:rsidP="008F0DFB">
            <w:pPr>
              <w:spacing w:after="120"/>
              <w:rPr>
                <w:lang w:val="en-US"/>
              </w:rPr>
            </w:pPr>
            <w:r>
              <w:rPr>
                <w:lang w:val="en-US"/>
              </w:rPr>
              <w:t>Production site</w:t>
            </w:r>
            <w:r w:rsidRPr="008F0DFB">
              <w:rPr>
                <w:lang w:val="en-US"/>
              </w:rPr>
              <w:t xml:space="preserve"> </w:t>
            </w:r>
            <w:r w:rsidR="008F0DFB" w:rsidRPr="008F0DFB">
              <w:rPr>
                <w:lang w:val="en-US"/>
              </w:rPr>
              <w:t xml:space="preserve">in </w:t>
            </w:r>
            <w:proofErr w:type="spellStart"/>
            <w:r w:rsidR="008F0DFB" w:rsidRPr="008F0DFB">
              <w:rPr>
                <w:lang w:val="en-US"/>
              </w:rPr>
              <w:t>Bippen</w:t>
            </w:r>
            <w:proofErr w:type="spellEnd"/>
            <w:r w:rsidR="00EC6BD2">
              <w:rPr>
                <w:lang w:val="en-US"/>
              </w:rPr>
              <w:t>/</w:t>
            </w:r>
            <w:proofErr w:type="spellStart"/>
            <w:r w:rsidR="008F0DFB" w:rsidRPr="008F0DFB">
              <w:rPr>
                <w:lang w:val="en-US"/>
              </w:rPr>
              <w:t>Ohrte</w:t>
            </w:r>
            <w:proofErr w:type="spellEnd"/>
            <w:r w:rsidR="008F0DFB" w:rsidRPr="008F0DFB">
              <w:rPr>
                <w:lang w:val="en-US"/>
              </w:rPr>
              <w:t xml:space="preserve"> </w:t>
            </w:r>
            <w:r>
              <w:rPr>
                <w:lang w:val="en-US"/>
              </w:rPr>
              <w:t>is</w:t>
            </w:r>
            <w:r w:rsidRPr="008F0DFB">
              <w:rPr>
                <w:lang w:val="en-US"/>
              </w:rPr>
              <w:t xml:space="preserve"> </w:t>
            </w:r>
            <w:r w:rsidR="008F0DFB" w:rsidRPr="008F0DFB">
              <w:rPr>
                <w:lang w:val="en-US"/>
              </w:rPr>
              <w:t xml:space="preserve">purchased and </w:t>
            </w:r>
            <w:r>
              <w:rPr>
                <w:lang w:val="en-US"/>
              </w:rPr>
              <w:t>equipped</w:t>
            </w:r>
          </w:p>
        </w:tc>
      </w:tr>
      <w:tr w:rsidR="00131840" w:rsidRPr="00D13268" w14:paraId="14713E8C" w14:textId="77777777" w:rsidTr="003869C6">
        <w:tc>
          <w:tcPr>
            <w:tcW w:w="1413" w:type="dxa"/>
          </w:tcPr>
          <w:p w14:paraId="66F00E90" w14:textId="77777777" w:rsidR="00131840" w:rsidRPr="00070157" w:rsidRDefault="00131840" w:rsidP="00131840">
            <w:pPr>
              <w:spacing w:after="120" w:line="360" w:lineRule="auto"/>
              <w:rPr>
                <w:b/>
              </w:rPr>
            </w:pPr>
            <w:r w:rsidRPr="00070157">
              <w:rPr>
                <w:b/>
              </w:rPr>
              <w:t>1995</w:t>
            </w:r>
          </w:p>
        </w:tc>
        <w:tc>
          <w:tcPr>
            <w:tcW w:w="7647" w:type="dxa"/>
          </w:tcPr>
          <w:p w14:paraId="226B9649" w14:textId="33F76F9C" w:rsidR="00131840" w:rsidRPr="008F0DFB" w:rsidRDefault="008F0DFB" w:rsidP="008F0DFB">
            <w:pPr>
              <w:spacing w:after="120"/>
              <w:rPr>
                <w:lang w:val="en-US"/>
              </w:rPr>
            </w:pPr>
            <w:r w:rsidRPr="008F0DFB">
              <w:rPr>
                <w:lang w:val="en-US"/>
              </w:rPr>
              <w:t>Fibre optic cable preparation facility is set up</w:t>
            </w:r>
          </w:p>
        </w:tc>
      </w:tr>
      <w:tr w:rsidR="00131840" w:rsidRPr="00D13268" w14:paraId="00B27AD7" w14:textId="77777777" w:rsidTr="003869C6">
        <w:tc>
          <w:tcPr>
            <w:tcW w:w="1413" w:type="dxa"/>
          </w:tcPr>
          <w:p w14:paraId="57793409" w14:textId="77777777" w:rsidR="00131840" w:rsidRPr="00070157" w:rsidRDefault="00131840" w:rsidP="00131840">
            <w:pPr>
              <w:spacing w:after="120" w:line="360" w:lineRule="auto"/>
              <w:rPr>
                <w:b/>
              </w:rPr>
            </w:pPr>
            <w:r w:rsidRPr="00070157">
              <w:rPr>
                <w:b/>
              </w:rPr>
              <w:t>1993</w:t>
            </w:r>
          </w:p>
        </w:tc>
        <w:tc>
          <w:tcPr>
            <w:tcW w:w="7647" w:type="dxa"/>
          </w:tcPr>
          <w:p w14:paraId="5FCE196E" w14:textId="44183BEB" w:rsidR="00131840" w:rsidRPr="008F0DFB" w:rsidRDefault="008F0DFB" w:rsidP="008F0DFB">
            <w:pPr>
              <w:spacing w:after="120"/>
              <w:rPr>
                <w:lang w:val="en-US"/>
              </w:rPr>
            </w:pPr>
            <w:r w:rsidRPr="008F0DFB">
              <w:rPr>
                <w:lang w:val="en-US"/>
              </w:rPr>
              <w:t xml:space="preserve">Company reforms as tde </w:t>
            </w:r>
            <w:r w:rsidR="00EC6BD2">
              <w:rPr>
                <w:lang w:val="en-US"/>
              </w:rPr>
              <w:t>–</w:t>
            </w:r>
            <w:r w:rsidRPr="008F0DFB">
              <w:rPr>
                <w:lang w:val="en-US"/>
              </w:rPr>
              <w:t xml:space="preserve"> trans data elektronik GmbH</w:t>
            </w:r>
          </w:p>
        </w:tc>
      </w:tr>
      <w:tr w:rsidR="00131840" w14:paraId="21DB9076" w14:textId="77777777" w:rsidTr="003869C6">
        <w:tc>
          <w:tcPr>
            <w:tcW w:w="1413" w:type="dxa"/>
          </w:tcPr>
          <w:p w14:paraId="5A1F3078" w14:textId="77777777" w:rsidR="00131840" w:rsidRPr="00070157" w:rsidRDefault="00131840" w:rsidP="00131840">
            <w:pPr>
              <w:spacing w:after="120" w:line="360" w:lineRule="auto"/>
              <w:rPr>
                <w:b/>
              </w:rPr>
            </w:pPr>
            <w:r w:rsidRPr="00070157">
              <w:rPr>
                <w:b/>
              </w:rPr>
              <w:t>1991</w:t>
            </w:r>
          </w:p>
        </w:tc>
        <w:tc>
          <w:tcPr>
            <w:tcW w:w="7647" w:type="dxa"/>
          </w:tcPr>
          <w:p w14:paraId="7993456E" w14:textId="70BF6E3A" w:rsidR="00131840" w:rsidRDefault="008F0DFB" w:rsidP="008F0DFB">
            <w:r>
              <w:t xml:space="preserve">Engel tde </w:t>
            </w:r>
            <w:r w:rsidR="00EC6BD2">
              <w:t>–</w:t>
            </w:r>
            <w:r>
              <w:t xml:space="preserve"> </w:t>
            </w:r>
            <w:proofErr w:type="spellStart"/>
            <w:r>
              <w:t>trans</w:t>
            </w:r>
            <w:proofErr w:type="spellEnd"/>
            <w:r>
              <w:t xml:space="preserve"> </w:t>
            </w:r>
            <w:proofErr w:type="spellStart"/>
            <w:r>
              <w:t>data</w:t>
            </w:r>
            <w:proofErr w:type="spellEnd"/>
            <w:r>
              <w:t xml:space="preserve"> </w:t>
            </w:r>
            <w:proofErr w:type="spellStart"/>
            <w:r>
              <w:t>elektronik</w:t>
            </w:r>
            <w:proofErr w:type="spellEnd"/>
            <w:r>
              <w:t xml:space="preserve"> </w:t>
            </w:r>
            <w:proofErr w:type="spellStart"/>
            <w:r>
              <w:t>is</w:t>
            </w:r>
            <w:proofErr w:type="spellEnd"/>
            <w:r>
              <w:t xml:space="preserve"> </w:t>
            </w:r>
            <w:proofErr w:type="spellStart"/>
            <w:r>
              <w:t>founded</w:t>
            </w:r>
            <w:proofErr w:type="spellEnd"/>
          </w:p>
        </w:tc>
      </w:tr>
    </w:tbl>
    <w:p w14:paraId="23BBAFA1" w14:textId="77777777" w:rsidR="008F0DFB" w:rsidRDefault="009D0F98" w:rsidP="008F0DFB">
      <w:pPr>
        <w:spacing w:after="0" w:line="360" w:lineRule="auto"/>
        <w:rPr>
          <w:b/>
          <w:bCs/>
          <w:sz w:val="18"/>
          <w:szCs w:val="18"/>
          <w:lang w:val="en-GB"/>
        </w:rPr>
      </w:pPr>
      <w:r>
        <w:br/>
      </w:r>
      <w:r w:rsidR="008F0DFB">
        <w:rPr>
          <w:b/>
          <w:bCs/>
          <w:sz w:val="18"/>
          <w:szCs w:val="18"/>
          <w:lang w:val="en-GB"/>
        </w:rPr>
        <w:t xml:space="preserve">About tde – trans data elektronik GmbH </w:t>
      </w:r>
    </w:p>
    <w:p w14:paraId="724D6B75" w14:textId="21503C02" w:rsidR="008F0DFB" w:rsidRDefault="008F0DFB" w:rsidP="008F0DFB">
      <w:pPr>
        <w:jc w:val="both"/>
        <w:rPr>
          <w:lang w:val="en-GB"/>
        </w:rPr>
      </w:pPr>
      <w:r>
        <w:rPr>
          <w:sz w:val="18"/>
          <w:szCs w:val="18"/>
          <w:lang w:val="en-GB"/>
        </w:rPr>
        <w:t xml:space="preserve">For </w:t>
      </w:r>
      <w:r w:rsidR="004D0C1A">
        <w:rPr>
          <w:sz w:val="18"/>
          <w:szCs w:val="18"/>
          <w:lang w:val="en-GB"/>
        </w:rPr>
        <w:t>30</w:t>
      </w:r>
      <w:r>
        <w:rPr>
          <w:sz w:val="18"/>
          <w:szCs w:val="18"/>
          <w:lang w:val="en-GB"/>
        </w:rPr>
        <w:t xml:space="preserve"> years the tde - trans data elektronik GmbH, an internationally successful company, has specialised in the development and production of scalable cabling systems for highest packing density. The nuclear research centre CERN relies on the know-how of the leading company in multi-fibre technics (MPO) as well. The company’s portfolio "Made in Germany" contains complete system solutions with a focus on Plug-and-play for high speed applications in the field of datacom, telecom, industry, medical and defence. tde offers both planning and installation services through its own service department and supports the "European Code of Conduct" when it comes to energy efficiency in data centres. For more information, visit </w:t>
      </w:r>
      <w:r w:rsidR="00BE6EAF">
        <w:fldChar w:fldCharType="begin"/>
      </w:r>
      <w:r w:rsidR="00BE6EAF" w:rsidRPr="00D13268">
        <w:rPr>
          <w:lang w:val="en-GB"/>
        </w:rPr>
        <w:instrText xml:space="preserve"> HYPERLINK "http://www.tde.de/" </w:instrText>
      </w:r>
      <w:r w:rsidR="00BE6EAF">
        <w:fldChar w:fldCharType="separate"/>
      </w:r>
      <w:r>
        <w:rPr>
          <w:rStyle w:val="Hyperlink"/>
          <w:sz w:val="18"/>
          <w:szCs w:val="18"/>
          <w:lang w:val="en-GB"/>
        </w:rPr>
        <w:t>www.tde.de</w:t>
      </w:r>
      <w:r w:rsidR="00BE6EAF">
        <w:rPr>
          <w:rStyle w:val="Hyperlink"/>
          <w:sz w:val="18"/>
          <w:szCs w:val="18"/>
          <w:lang w:val="en-GB"/>
        </w:rPr>
        <w:fldChar w:fldCharType="end"/>
      </w:r>
      <w:r>
        <w:rPr>
          <w:lang w:val="en-GB"/>
        </w:rPr>
        <w:t xml:space="preserve"> </w:t>
      </w:r>
      <w:r w:rsidRPr="0088496C">
        <w:rPr>
          <w:sz w:val="18"/>
          <w:szCs w:val="16"/>
          <w:lang w:val="en-US"/>
        </w:rPr>
        <w:t xml:space="preserve">or </w:t>
      </w:r>
      <w:r>
        <w:rPr>
          <w:sz w:val="18"/>
          <w:szCs w:val="16"/>
          <w:lang w:val="en-US"/>
        </w:rPr>
        <w:t>f</w:t>
      </w:r>
      <w:r w:rsidRPr="0088496C">
        <w:rPr>
          <w:sz w:val="18"/>
          <w:szCs w:val="16"/>
          <w:lang w:val="en-US"/>
        </w:rPr>
        <w:t>ol</w:t>
      </w:r>
      <w:r>
        <w:rPr>
          <w:sz w:val="18"/>
          <w:szCs w:val="16"/>
          <w:lang w:val="en-US"/>
        </w:rPr>
        <w:t xml:space="preserve">low us on </w:t>
      </w:r>
      <w:r w:rsidR="00BE6EAF">
        <w:fldChar w:fldCharType="begin"/>
      </w:r>
      <w:r w:rsidR="00BE6EAF" w:rsidRPr="00D13268">
        <w:rPr>
          <w:lang w:val="en-GB"/>
        </w:rPr>
        <w:instrText xml:space="preserve"> HYPERLINK "https://www.linkedin.com/company/tde-trans-data-elektronik-gmbh/" </w:instrText>
      </w:r>
      <w:r w:rsidR="00BE6EAF">
        <w:fldChar w:fldCharType="separate"/>
      </w:r>
      <w:r w:rsidRPr="0088496C">
        <w:rPr>
          <w:rStyle w:val="Hyperlink"/>
          <w:rFonts w:cs="Calibri"/>
          <w:sz w:val="18"/>
          <w:szCs w:val="16"/>
          <w:lang w:val="en-US"/>
        </w:rPr>
        <w:t>LinkedIn</w:t>
      </w:r>
      <w:r w:rsidR="00BE6EAF">
        <w:rPr>
          <w:rStyle w:val="Hyperlink"/>
          <w:rFonts w:cs="Calibri"/>
          <w:sz w:val="18"/>
          <w:szCs w:val="16"/>
          <w:lang w:val="en-US"/>
        </w:rPr>
        <w:fldChar w:fldCharType="end"/>
      </w:r>
      <w:r w:rsidRPr="0088496C">
        <w:rPr>
          <w:sz w:val="18"/>
          <w:szCs w:val="16"/>
          <w:lang w:val="en-US"/>
        </w:rPr>
        <w:t xml:space="preserve">, </w:t>
      </w:r>
      <w:r w:rsidR="00BE6EAF">
        <w:fldChar w:fldCharType="begin"/>
      </w:r>
      <w:r w:rsidR="00BE6EAF" w:rsidRPr="00D13268">
        <w:rPr>
          <w:lang w:val="en-GB"/>
        </w:rPr>
        <w:instrText xml:space="preserve"> HYPERLINK "https://twitter.com/tdeConnect" </w:instrText>
      </w:r>
      <w:r w:rsidR="00BE6EAF">
        <w:fldChar w:fldCharType="separate"/>
      </w:r>
      <w:r w:rsidRPr="0088496C">
        <w:rPr>
          <w:rStyle w:val="Hyperlink"/>
          <w:rFonts w:cs="Calibri"/>
          <w:sz w:val="18"/>
          <w:szCs w:val="16"/>
          <w:lang w:val="en-US"/>
        </w:rPr>
        <w:t>Twitter</w:t>
      </w:r>
      <w:r w:rsidR="00BE6EAF">
        <w:rPr>
          <w:rStyle w:val="Hyperlink"/>
          <w:rFonts w:cs="Calibri"/>
          <w:sz w:val="18"/>
          <w:szCs w:val="16"/>
          <w:lang w:val="en-US"/>
        </w:rPr>
        <w:fldChar w:fldCharType="end"/>
      </w:r>
      <w:r w:rsidRPr="0088496C">
        <w:rPr>
          <w:sz w:val="18"/>
          <w:szCs w:val="16"/>
          <w:lang w:val="en-US"/>
        </w:rPr>
        <w:t xml:space="preserve"> und </w:t>
      </w:r>
      <w:r w:rsidR="00BE6EAF">
        <w:fldChar w:fldCharType="begin"/>
      </w:r>
      <w:r w:rsidR="00BE6EAF" w:rsidRPr="00D13268">
        <w:rPr>
          <w:lang w:val="en-GB"/>
        </w:rPr>
        <w:instrText xml:space="preserve"> HYPERLINK "https://www.xing.com/companies/tde-transdataelektronikgmbh/updates" </w:instrText>
      </w:r>
      <w:r w:rsidR="00BE6EAF">
        <w:fldChar w:fldCharType="separate"/>
      </w:r>
      <w:r w:rsidRPr="0088496C">
        <w:rPr>
          <w:rStyle w:val="Hyperlink"/>
          <w:rFonts w:cs="Calibri"/>
          <w:sz w:val="18"/>
          <w:szCs w:val="16"/>
          <w:lang w:val="en-US"/>
        </w:rPr>
        <w:t>Xing</w:t>
      </w:r>
      <w:r w:rsidR="00BE6EAF">
        <w:rPr>
          <w:rStyle w:val="Hyperlink"/>
          <w:rFonts w:cs="Calibri"/>
          <w:sz w:val="18"/>
          <w:szCs w:val="16"/>
          <w:lang w:val="en-US"/>
        </w:rPr>
        <w:fldChar w:fldCharType="end"/>
      </w:r>
      <w:r w:rsidRPr="0088496C">
        <w:rPr>
          <w:rStyle w:val="Hyperlink"/>
          <w:rFonts w:cs="Calibri"/>
          <w:sz w:val="18"/>
          <w:szCs w:val="16"/>
          <w:lang w:val="en-US"/>
        </w:rPr>
        <w:t>.</w:t>
      </w:r>
    </w:p>
    <w:p w14:paraId="1F205BA5" w14:textId="77777777" w:rsidR="008F0DFB" w:rsidRPr="00D13268" w:rsidRDefault="008F0DFB" w:rsidP="008F0DFB">
      <w:pPr>
        <w:spacing w:after="0" w:line="360" w:lineRule="auto"/>
        <w:rPr>
          <w:b/>
          <w:bCs/>
          <w:sz w:val="18"/>
          <w:szCs w:val="18"/>
        </w:rPr>
      </w:pPr>
      <w:r w:rsidRPr="00D13268">
        <w:rPr>
          <w:b/>
          <w:bCs/>
          <w:sz w:val="18"/>
          <w:szCs w:val="18"/>
        </w:rPr>
        <w:t xml:space="preserve">Customer contact: </w:t>
      </w:r>
    </w:p>
    <w:p w14:paraId="37689166" w14:textId="77777777" w:rsidR="008F0DFB" w:rsidRPr="00895437" w:rsidRDefault="008F0DFB" w:rsidP="008F0DFB">
      <w:pPr>
        <w:rPr>
          <w:sz w:val="18"/>
          <w:szCs w:val="16"/>
        </w:rPr>
      </w:pPr>
      <w:r w:rsidRPr="00D13268">
        <w:rPr>
          <w:sz w:val="18"/>
          <w:szCs w:val="16"/>
        </w:rPr>
        <w:t xml:space="preserve">tde - trans data elektronik GmbH, Sales office Dortmund, </w:t>
      </w:r>
      <w:r w:rsidRPr="00D13268">
        <w:rPr>
          <w:sz w:val="18"/>
          <w:szCs w:val="16"/>
        </w:rPr>
        <w:br/>
        <w:t xml:space="preserve">André Engel, Prinz-Friedrich-Karl-Str. </w:t>
      </w:r>
      <w:r w:rsidRPr="00895437">
        <w:rPr>
          <w:sz w:val="18"/>
          <w:szCs w:val="16"/>
        </w:rPr>
        <w:t xml:space="preserve">46, 44135 Dortmund, </w:t>
      </w:r>
      <w:r w:rsidRPr="00895437">
        <w:rPr>
          <w:sz w:val="18"/>
          <w:szCs w:val="16"/>
        </w:rPr>
        <w:br/>
        <w:t xml:space="preserve">Tel. +49 231 160480, Fax +49 231 160933, </w:t>
      </w:r>
      <w:hyperlink r:id="rId10" w:history="1">
        <w:r w:rsidRPr="00895437">
          <w:rPr>
            <w:rStyle w:val="Hyperlink"/>
            <w:sz w:val="18"/>
          </w:rPr>
          <w:t>info@tde.de</w:t>
        </w:r>
      </w:hyperlink>
      <w:r w:rsidRPr="00895437">
        <w:rPr>
          <w:sz w:val="18"/>
          <w:szCs w:val="16"/>
        </w:rPr>
        <w:t xml:space="preserve">, </w:t>
      </w:r>
      <w:hyperlink r:id="rId11" w:history="1">
        <w:r w:rsidRPr="00895437">
          <w:rPr>
            <w:rStyle w:val="Hyperlink"/>
            <w:sz w:val="18"/>
          </w:rPr>
          <w:t>www.tde.de</w:t>
        </w:r>
      </w:hyperlink>
    </w:p>
    <w:p w14:paraId="419EC255" w14:textId="77777777" w:rsidR="008F0DFB" w:rsidRPr="00895437" w:rsidRDefault="008F0DFB" w:rsidP="008F0DFB">
      <w:pPr>
        <w:spacing w:after="0" w:line="360" w:lineRule="auto"/>
        <w:rPr>
          <w:b/>
          <w:bCs/>
          <w:sz w:val="18"/>
          <w:szCs w:val="18"/>
        </w:rPr>
      </w:pPr>
      <w:r w:rsidRPr="00895437">
        <w:rPr>
          <w:b/>
          <w:bCs/>
          <w:sz w:val="18"/>
          <w:szCs w:val="18"/>
        </w:rPr>
        <w:t xml:space="preserve">Press </w:t>
      </w:r>
      <w:proofErr w:type="spellStart"/>
      <w:r w:rsidRPr="00895437">
        <w:rPr>
          <w:b/>
          <w:bCs/>
          <w:sz w:val="18"/>
          <w:szCs w:val="18"/>
        </w:rPr>
        <w:t>contact</w:t>
      </w:r>
      <w:proofErr w:type="spellEnd"/>
      <w:r w:rsidRPr="00895437">
        <w:rPr>
          <w:b/>
          <w:bCs/>
          <w:sz w:val="18"/>
          <w:szCs w:val="18"/>
        </w:rPr>
        <w:t>:</w:t>
      </w:r>
    </w:p>
    <w:p w14:paraId="02920D46" w14:textId="77777777" w:rsidR="008F0DFB" w:rsidRDefault="008F0DFB" w:rsidP="008F0DFB">
      <w:pPr>
        <w:spacing w:after="0" w:line="240" w:lineRule="auto"/>
        <w:rPr>
          <w:sz w:val="18"/>
          <w:szCs w:val="18"/>
        </w:rPr>
      </w:pPr>
      <w:r w:rsidRPr="00895437">
        <w:rPr>
          <w:sz w:val="18"/>
          <w:szCs w:val="18"/>
        </w:rPr>
        <w:t>epr - elsaesser public relations, Maximilianstraße 50, D-86150 Augsburg, Germany</w:t>
      </w:r>
      <w:r w:rsidRPr="00895437">
        <w:rPr>
          <w:sz w:val="18"/>
          <w:szCs w:val="18"/>
        </w:rPr>
        <w:br/>
        <w:t xml:space="preserve">Frauke Schütz, Tel: +49 – (0)821 – 4508 7916, </w:t>
      </w:r>
      <w:hyperlink r:id="rId12" w:history="1">
        <w:r w:rsidRPr="00895437">
          <w:rPr>
            <w:rStyle w:val="Hyperlink"/>
            <w:sz w:val="18"/>
            <w:szCs w:val="18"/>
          </w:rPr>
          <w:t>fs@epr-online.de</w:t>
        </w:r>
      </w:hyperlink>
      <w:r w:rsidRPr="00895437">
        <w:rPr>
          <w:sz w:val="18"/>
          <w:szCs w:val="18"/>
        </w:rPr>
        <w:t xml:space="preserve">, </w:t>
      </w:r>
      <w:hyperlink r:id="rId13" w:history="1">
        <w:r w:rsidRPr="00895437">
          <w:rPr>
            <w:rStyle w:val="Hyperlink"/>
            <w:sz w:val="18"/>
            <w:szCs w:val="18"/>
          </w:rPr>
          <w:t>www.epr-online.de</w:t>
        </w:r>
      </w:hyperlink>
      <w:r w:rsidRPr="00F63B59">
        <w:rPr>
          <w:sz w:val="18"/>
          <w:szCs w:val="18"/>
        </w:rPr>
        <w:t xml:space="preserve"> </w:t>
      </w:r>
    </w:p>
    <w:p w14:paraId="3813FA77" w14:textId="77777777" w:rsidR="008F0DFB" w:rsidRDefault="008F0DFB" w:rsidP="008F0DFB">
      <w:pPr>
        <w:spacing w:after="0" w:line="240" w:lineRule="auto"/>
        <w:rPr>
          <w:rStyle w:val="Hyperlink"/>
          <w:rFonts w:cs="Calibri"/>
          <w:color w:val="auto"/>
          <w:sz w:val="18"/>
          <w:szCs w:val="18"/>
          <w:u w:val="none"/>
        </w:rPr>
      </w:pPr>
      <w:r>
        <w:rPr>
          <w:sz w:val="18"/>
          <w:szCs w:val="18"/>
        </w:rPr>
        <w:t>Elke Thiergärtner</w:t>
      </w:r>
      <w:r w:rsidRPr="00895437">
        <w:rPr>
          <w:sz w:val="18"/>
          <w:szCs w:val="18"/>
        </w:rPr>
        <w:t>, Tel: +49 - (0)821 – 4508 791</w:t>
      </w:r>
      <w:r>
        <w:rPr>
          <w:sz w:val="18"/>
          <w:szCs w:val="18"/>
        </w:rPr>
        <w:t>2</w:t>
      </w:r>
      <w:r w:rsidRPr="00895437">
        <w:rPr>
          <w:sz w:val="18"/>
          <w:szCs w:val="18"/>
        </w:rPr>
        <w:t xml:space="preserve">, </w:t>
      </w:r>
      <w:hyperlink r:id="rId14" w:history="1">
        <w:r w:rsidRPr="00FB4ADB">
          <w:rPr>
            <w:rStyle w:val="Hyperlink"/>
            <w:sz w:val="18"/>
            <w:szCs w:val="18"/>
          </w:rPr>
          <w:t>et@epr-online.de</w:t>
        </w:r>
      </w:hyperlink>
      <w:r w:rsidRPr="00895437">
        <w:rPr>
          <w:sz w:val="18"/>
          <w:szCs w:val="18"/>
        </w:rPr>
        <w:br/>
      </w:r>
      <w:hyperlink r:id="rId15" w:history="1">
        <w:r w:rsidRPr="00ED0C8B">
          <w:rPr>
            <w:rStyle w:val="Hyperlink"/>
            <w:rFonts w:cs="Calibri"/>
            <w:sz w:val="18"/>
            <w:szCs w:val="18"/>
          </w:rPr>
          <w:t>www.epr-online.com</w:t>
        </w:r>
      </w:hyperlink>
    </w:p>
    <w:p w14:paraId="717C7E5F" w14:textId="77777777" w:rsidR="008F0DFB" w:rsidRPr="00F63B59" w:rsidRDefault="008F0DFB" w:rsidP="008F0DFB">
      <w:pPr>
        <w:spacing w:after="0" w:line="240" w:lineRule="auto"/>
        <w:rPr>
          <w:rStyle w:val="Hyperlink"/>
          <w:rFonts w:cs="Calibri"/>
          <w:color w:val="auto"/>
          <w:sz w:val="18"/>
          <w:szCs w:val="18"/>
          <w:u w:val="none"/>
        </w:rPr>
      </w:pPr>
    </w:p>
    <w:p w14:paraId="571108C1" w14:textId="5008FCDE" w:rsidR="00E843AA" w:rsidRPr="00E843AA" w:rsidRDefault="00E843AA" w:rsidP="008F0DFB">
      <w:pPr>
        <w:rPr>
          <w:rFonts w:cs="Verdana"/>
          <w:sz w:val="18"/>
          <w:szCs w:val="16"/>
        </w:rPr>
      </w:pPr>
    </w:p>
    <w:sectPr w:rsidR="00E843AA" w:rsidRPr="00E843AA" w:rsidSect="006035BB">
      <w:headerReference w:type="default" r:id="rId16"/>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45033" w14:textId="77777777" w:rsidR="00BE6EAF" w:rsidRDefault="00BE6EAF" w:rsidP="00986D29">
      <w:pPr>
        <w:spacing w:after="0" w:line="240" w:lineRule="auto"/>
      </w:pPr>
      <w:r>
        <w:separator/>
      </w:r>
    </w:p>
  </w:endnote>
  <w:endnote w:type="continuationSeparator" w:id="0">
    <w:p w14:paraId="4B0F9596" w14:textId="77777777" w:rsidR="00BE6EAF" w:rsidRDefault="00BE6EAF" w:rsidP="00986D29">
      <w:pPr>
        <w:spacing w:after="0" w:line="240" w:lineRule="auto"/>
      </w:pPr>
      <w:r>
        <w:continuationSeparator/>
      </w:r>
    </w:p>
  </w:endnote>
  <w:endnote w:type="continuationNotice" w:id="1">
    <w:p w14:paraId="53A38D05" w14:textId="77777777" w:rsidR="00BE6EAF" w:rsidRDefault="00BE6E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F159D" w14:textId="77777777" w:rsidR="00BE6EAF" w:rsidRDefault="00BE6EAF" w:rsidP="00986D29">
      <w:pPr>
        <w:spacing w:after="0" w:line="240" w:lineRule="auto"/>
      </w:pPr>
      <w:r>
        <w:separator/>
      </w:r>
    </w:p>
  </w:footnote>
  <w:footnote w:type="continuationSeparator" w:id="0">
    <w:p w14:paraId="79DF24B4" w14:textId="77777777" w:rsidR="00BE6EAF" w:rsidRDefault="00BE6EAF" w:rsidP="00986D29">
      <w:pPr>
        <w:spacing w:after="0" w:line="240" w:lineRule="auto"/>
      </w:pPr>
      <w:r>
        <w:continuationSeparator/>
      </w:r>
    </w:p>
  </w:footnote>
  <w:footnote w:type="continuationNotice" w:id="1">
    <w:p w14:paraId="2DEE1A01" w14:textId="77777777" w:rsidR="00BE6EAF" w:rsidRDefault="00BE6EA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259F0" w14:textId="77777777" w:rsidR="00C05B97" w:rsidRDefault="00C05B97" w:rsidP="00986D29">
    <w:pPr>
      <w:pStyle w:val="Kopfzeile"/>
      <w:jc w:val="right"/>
      <w:rPr>
        <w:rFonts w:ascii="Verdana" w:hAnsi="Verdana" w:cs="Verdana"/>
        <w:color w:val="808080"/>
        <w:sz w:val="20"/>
        <w:szCs w:val="20"/>
      </w:rPr>
    </w:pPr>
    <w:r>
      <w:rPr>
        <w:noProof/>
        <w:lang w:eastAsia="de-DE"/>
      </w:rPr>
      <w:drawing>
        <wp:anchor distT="0" distB="0" distL="114300" distR="114300" simplePos="0" relativeHeight="251658240" behindDoc="1" locked="0" layoutInCell="1" allowOverlap="1" wp14:anchorId="0C8893C5" wp14:editId="6E99951A">
          <wp:simplePos x="0" y="0"/>
          <wp:positionH relativeFrom="column">
            <wp:posOffset>4743450</wp:posOffset>
          </wp:positionH>
          <wp:positionV relativeFrom="paragraph">
            <wp:posOffset>-40640</wp:posOffset>
          </wp:positionV>
          <wp:extent cx="1416050" cy="659130"/>
          <wp:effectExtent l="0" t="0" r="0" b="0"/>
          <wp:wrapTight wrapText="bothSides">
            <wp:wrapPolygon edited="0">
              <wp:start x="0" y="0"/>
              <wp:lineTo x="0" y="21225"/>
              <wp:lineTo x="21213" y="21225"/>
              <wp:lineTo x="21213" y="0"/>
              <wp:lineTo x="0" y="0"/>
            </wp:wrapPolygon>
          </wp:wrapTigh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126C7" w14:textId="77777777" w:rsidR="00C05B97" w:rsidRDefault="00C05B97">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49BD"/>
    <w:multiLevelType w:val="hybridMultilevel"/>
    <w:tmpl w:val="FEB63BB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94A6A96"/>
    <w:multiLevelType w:val="hybridMultilevel"/>
    <w:tmpl w:val="958A7898"/>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474"/>
    <w:rsid w:val="00003B1E"/>
    <w:rsid w:val="00017639"/>
    <w:rsid w:val="000239B4"/>
    <w:rsid w:val="000366E5"/>
    <w:rsid w:val="0003707D"/>
    <w:rsid w:val="0005190F"/>
    <w:rsid w:val="00057BD7"/>
    <w:rsid w:val="00065834"/>
    <w:rsid w:val="0006608B"/>
    <w:rsid w:val="0007097A"/>
    <w:rsid w:val="00073613"/>
    <w:rsid w:val="00073D55"/>
    <w:rsid w:val="000B2741"/>
    <w:rsid w:val="000C10F8"/>
    <w:rsid w:val="000C6D28"/>
    <w:rsid w:val="000C77E9"/>
    <w:rsid w:val="000D16EF"/>
    <w:rsid w:val="000D32DF"/>
    <w:rsid w:val="000D74AC"/>
    <w:rsid w:val="000E47C2"/>
    <w:rsid w:val="000E6175"/>
    <w:rsid w:val="000E6DE9"/>
    <w:rsid w:val="000F463B"/>
    <w:rsid w:val="000F5782"/>
    <w:rsid w:val="00110F46"/>
    <w:rsid w:val="00131840"/>
    <w:rsid w:val="00146E07"/>
    <w:rsid w:val="00147BEF"/>
    <w:rsid w:val="00170E62"/>
    <w:rsid w:val="00193369"/>
    <w:rsid w:val="001978F3"/>
    <w:rsid w:val="001A10B1"/>
    <w:rsid w:val="001A1D2B"/>
    <w:rsid w:val="001A7106"/>
    <w:rsid w:val="001B360D"/>
    <w:rsid w:val="001B3B75"/>
    <w:rsid w:val="001B5BD4"/>
    <w:rsid w:val="001D4F8C"/>
    <w:rsid w:val="002172D4"/>
    <w:rsid w:val="0021799B"/>
    <w:rsid w:val="00227D9A"/>
    <w:rsid w:val="00243617"/>
    <w:rsid w:val="00272182"/>
    <w:rsid w:val="00276E7B"/>
    <w:rsid w:val="00283F45"/>
    <w:rsid w:val="00285420"/>
    <w:rsid w:val="00285498"/>
    <w:rsid w:val="00285FE7"/>
    <w:rsid w:val="00297077"/>
    <w:rsid w:val="002A2413"/>
    <w:rsid w:val="002A7D64"/>
    <w:rsid w:val="002B030F"/>
    <w:rsid w:val="002B2E40"/>
    <w:rsid w:val="002C7B0F"/>
    <w:rsid w:val="002E63EC"/>
    <w:rsid w:val="00303A9C"/>
    <w:rsid w:val="00307055"/>
    <w:rsid w:val="003102BD"/>
    <w:rsid w:val="003413BC"/>
    <w:rsid w:val="00346ACB"/>
    <w:rsid w:val="0036650E"/>
    <w:rsid w:val="00373792"/>
    <w:rsid w:val="003749B0"/>
    <w:rsid w:val="003869C6"/>
    <w:rsid w:val="00390DC5"/>
    <w:rsid w:val="003B28E2"/>
    <w:rsid w:val="003C62E4"/>
    <w:rsid w:val="003E5B19"/>
    <w:rsid w:val="0043370C"/>
    <w:rsid w:val="0044094C"/>
    <w:rsid w:val="00446425"/>
    <w:rsid w:val="004576F2"/>
    <w:rsid w:val="0047393B"/>
    <w:rsid w:val="00475493"/>
    <w:rsid w:val="004758D5"/>
    <w:rsid w:val="00486EC0"/>
    <w:rsid w:val="004B21E7"/>
    <w:rsid w:val="004B7BC3"/>
    <w:rsid w:val="004D0C1A"/>
    <w:rsid w:val="004E0466"/>
    <w:rsid w:val="004E04D5"/>
    <w:rsid w:val="004F00FA"/>
    <w:rsid w:val="00522B1D"/>
    <w:rsid w:val="0052778C"/>
    <w:rsid w:val="00532BA2"/>
    <w:rsid w:val="0053454E"/>
    <w:rsid w:val="00536E74"/>
    <w:rsid w:val="005444ED"/>
    <w:rsid w:val="0057279E"/>
    <w:rsid w:val="0058282F"/>
    <w:rsid w:val="00590066"/>
    <w:rsid w:val="0059088B"/>
    <w:rsid w:val="005B736C"/>
    <w:rsid w:val="005D0245"/>
    <w:rsid w:val="005D67AA"/>
    <w:rsid w:val="005E5356"/>
    <w:rsid w:val="005F317E"/>
    <w:rsid w:val="005F69BF"/>
    <w:rsid w:val="006035BB"/>
    <w:rsid w:val="00611FAB"/>
    <w:rsid w:val="00613C70"/>
    <w:rsid w:val="006239A5"/>
    <w:rsid w:val="00627916"/>
    <w:rsid w:val="00630C23"/>
    <w:rsid w:val="006377E0"/>
    <w:rsid w:val="00640FB0"/>
    <w:rsid w:val="00644DEF"/>
    <w:rsid w:val="00662E83"/>
    <w:rsid w:val="0068669B"/>
    <w:rsid w:val="00690649"/>
    <w:rsid w:val="006C3013"/>
    <w:rsid w:val="007112D1"/>
    <w:rsid w:val="0071686D"/>
    <w:rsid w:val="00724AAE"/>
    <w:rsid w:val="00744B5B"/>
    <w:rsid w:val="00745C17"/>
    <w:rsid w:val="00745F7A"/>
    <w:rsid w:val="00765B3F"/>
    <w:rsid w:val="007754D2"/>
    <w:rsid w:val="007808F7"/>
    <w:rsid w:val="0079050D"/>
    <w:rsid w:val="007C0869"/>
    <w:rsid w:val="007D1D3F"/>
    <w:rsid w:val="007D4313"/>
    <w:rsid w:val="00811C20"/>
    <w:rsid w:val="00823E78"/>
    <w:rsid w:val="00834464"/>
    <w:rsid w:val="008377B4"/>
    <w:rsid w:val="008379C6"/>
    <w:rsid w:val="00865A61"/>
    <w:rsid w:val="00867799"/>
    <w:rsid w:val="00877387"/>
    <w:rsid w:val="008A35D7"/>
    <w:rsid w:val="008B7D76"/>
    <w:rsid w:val="008C2AD6"/>
    <w:rsid w:val="008F0DFB"/>
    <w:rsid w:val="008F2474"/>
    <w:rsid w:val="00911529"/>
    <w:rsid w:val="00925BD5"/>
    <w:rsid w:val="00932FA1"/>
    <w:rsid w:val="0095013B"/>
    <w:rsid w:val="00954CD5"/>
    <w:rsid w:val="00976E76"/>
    <w:rsid w:val="009771D9"/>
    <w:rsid w:val="0098351F"/>
    <w:rsid w:val="00986D29"/>
    <w:rsid w:val="00990CD4"/>
    <w:rsid w:val="009912D6"/>
    <w:rsid w:val="00992CC5"/>
    <w:rsid w:val="009A203B"/>
    <w:rsid w:val="009C546C"/>
    <w:rsid w:val="009D0F98"/>
    <w:rsid w:val="009D2365"/>
    <w:rsid w:val="00A11729"/>
    <w:rsid w:val="00A33919"/>
    <w:rsid w:val="00A4074E"/>
    <w:rsid w:val="00A41EE5"/>
    <w:rsid w:val="00A44CE8"/>
    <w:rsid w:val="00A52CF4"/>
    <w:rsid w:val="00A53B5F"/>
    <w:rsid w:val="00A5517D"/>
    <w:rsid w:val="00A7141C"/>
    <w:rsid w:val="00A83DA1"/>
    <w:rsid w:val="00A87E50"/>
    <w:rsid w:val="00AD1673"/>
    <w:rsid w:val="00AE037A"/>
    <w:rsid w:val="00AE3C4E"/>
    <w:rsid w:val="00B05ADD"/>
    <w:rsid w:val="00B06243"/>
    <w:rsid w:val="00B12347"/>
    <w:rsid w:val="00B306C4"/>
    <w:rsid w:val="00B54663"/>
    <w:rsid w:val="00B61EBB"/>
    <w:rsid w:val="00B82D02"/>
    <w:rsid w:val="00B96DC9"/>
    <w:rsid w:val="00BB466E"/>
    <w:rsid w:val="00BC210C"/>
    <w:rsid w:val="00BC5BC1"/>
    <w:rsid w:val="00BD40C9"/>
    <w:rsid w:val="00BE6EAF"/>
    <w:rsid w:val="00BF7990"/>
    <w:rsid w:val="00C05B97"/>
    <w:rsid w:val="00C071D0"/>
    <w:rsid w:val="00C07FF7"/>
    <w:rsid w:val="00C43B9F"/>
    <w:rsid w:val="00C57B3B"/>
    <w:rsid w:val="00CA737A"/>
    <w:rsid w:val="00CC6486"/>
    <w:rsid w:val="00CD0D9A"/>
    <w:rsid w:val="00CD1D79"/>
    <w:rsid w:val="00CD24F7"/>
    <w:rsid w:val="00CF0287"/>
    <w:rsid w:val="00D03B80"/>
    <w:rsid w:val="00D13268"/>
    <w:rsid w:val="00D14992"/>
    <w:rsid w:val="00D261CE"/>
    <w:rsid w:val="00D34764"/>
    <w:rsid w:val="00D44F6F"/>
    <w:rsid w:val="00D47B2C"/>
    <w:rsid w:val="00D47B87"/>
    <w:rsid w:val="00D75A42"/>
    <w:rsid w:val="00D86759"/>
    <w:rsid w:val="00D869AD"/>
    <w:rsid w:val="00D9338E"/>
    <w:rsid w:val="00DB7DED"/>
    <w:rsid w:val="00DC2456"/>
    <w:rsid w:val="00DC3649"/>
    <w:rsid w:val="00DC3CE1"/>
    <w:rsid w:val="00DC5697"/>
    <w:rsid w:val="00DC5E5B"/>
    <w:rsid w:val="00DD1B74"/>
    <w:rsid w:val="00DD424E"/>
    <w:rsid w:val="00DE7D51"/>
    <w:rsid w:val="00DF47EB"/>
    <w:rsid w:val="00DF4A85"/>
    <w:rsid w:val="00E32102"/>
    <w:rsid w:val="00E335AF"/>
    <w:rsid w:val="00E56836"/>
    <w:rsid w:val="00E80CEB"/>
    <w:rsid w:val="00E82093"/>
    <w:rsid w:val="00E843AA"/>
    <w:rsid w:val="00E940ED"/>
    <w:rsid w:val="00EA43B2"/>
    <w:rsid w:val="00EA7665"/>
    <w:rsid w:val="00EC6BD2"/>
    <w:rsid w:val="00ED0C8F"/>
    <w:rsid w:val="00EE0C70"/>
    <w:rsid w:val="00F06042"/>
    <w:rsid w:val="00F06580"/>
    <w:rsid w:val="00F416CA"/>
    <w:rsid w:val="00F51792"/>
    <w:rsid w:val="00F52541"/>
    <w:rsid w:val="00F76DD6"/>
    <w:rsid w:val="00F82521"/>
    <w:rsid w:val="00F97BA7"/>
    <w:rsid w:val="00FA5864"/>
    <w:rsid w:val="00FC0AC7"/>
    <w:rsid w:val="00FF53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A7F079"/>
  <w14:defaultImageDpi w14:val="0"/>
  <w15:docId w15:val="{B5F98CF7-9EB9-45E4-879A-1F880116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2474"/>
    <w:pPr>
      <w:spacing w:after="200" w:line="276"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2474"/>
    <w:pPr>
      <w:spacing w:after="0" w:line="240" w:lineRule="auto"/>
      <w:ind w:left="720"/>
    </w:pPr>
  </w:style>
  <w:style w:type="character" w:styleId="Kommentarzeichen">
    <w:name w:val="annotation reference"/>
    <w:basedOn w:val="Absatz-Standardschriftart"/>
    <w:uiPriority w:val="99"/>
    <w:semiHidden/>
    <w:unhideWhenUsed/>
    <w:rsid w:val="00644DEF"/>
    <w:rPr>
      <w:rFonts w:cs="Times New Roman"/>
      <w:sz w:val="16"/>
      <w:szCs w:val="16"/>
    </w:rPr>
  </w:style>
  <w:style w:type="paragraph" w:styleId="Kommentartext">
    <w:name w:val="annotation text"/>
    <w:basedOn w:val="Standard"/>
    <w:link w:val="KommentartextZchn"/>
    <w:uiPriority w:val="99"/>
    <w:unhideWhenUsed/>
    <w:rsid w:val="00644DEF"/>
    <w:pPr>
      <w:spacing w:line="240" w:lineRule="auto"/>
    </w:pPr>
    <w:rPr>
      <w:sz w:val="20"/>
      <w:szCs w:val="20"/>
    </w:rPr>
  </w:style>
  <w:style w:type="character" w:customStyle="1" w:styleId="KommentartextZchn">
    <w:name w:val="Kommentartext Zchn"/>
    <w:basedOn w:val="Absatz-Standardschriftart"/>
    <w:link w:val="Kommentartext"/>
    <w:uiPriority w:val="99"/>
    <w:locked/>
    <w:rsid w:val="00644DEF"/>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644DEF"/>
    <w:rPr>
      <w:b/>
      <w:bCs/>
    </w:rPr>
  </w:style>
  <w:style w:type="character" w:customStyle="1" w:styleId="KommentarthemaZchn">
    <w:name w:val="Kommentarthema Zchn"/>
    <w:basedOn w:val="KommentartextZchn"/>
    <w:link w:val="Kommentarthema"/>
    <w:uiPriority w:val="99"/>
    <w:semiHidden/>
    <w:locked/>
    <w:rsid w:val="00644DEF"/>
    <w:rPr>
      <w:rFonts w:ascii="Calibri" w:hAnsi="Calibri" w:cs="Calibri"/>
      <w:b/>
      <w:bCs/>
      <w:sz w:val="20"/>
      <w:szCs w:val="20"/>
    </w:rPr>
  </w:style>
  <w:style w:type="paragraph" w:styleId="Sprechblasentext">
    <w:name w:val="Balloon Text"/>
    <w:basedOn w:val="Standard"/>
    <w:link w:val="SprechblasentextZchn"/>
    <w:uiPriority w:val="99"/>
    <w:semiHidden/>
    <w:unhideWhenUsed/>
    <w:rsid w:val="00644DE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644DEF"/>
    <w:rPr>
      <w:rFonts w:ascii="Segoe UI" w:hAnsi="Segoe UI" w:cs="Segoe UI"/>
      <w:sz w:val="18"/>
      <w:szCs w:val="18"/>
    </w:rPr>
  </w:style>
  <w:style w:type="character" w:styleId="Hyperlink">
    <w:name w:val="Hyperlink"/>
    <w:basedOn w:val="Absatz-Standardschriftart"/>
    <w:uiPriority w:val="99"/>
    <w:unhideWhenUsed/>
    <w:rsid w:val="00992CC5"/>
    <w:rPr>
      <w:rFonts w:cs="Times New Roman"/>
      <w:color w:val="0563C1" w:themeColor="hyperlink"/>
      <w:u w:val="single"/>
    </w:rPr>
  </w:style>
  <w:style w:type="character" w:customStyle="1" w:styleId="NichtaufgelsteErwhnung1">
    <w:name w:val="Nicht aufgelöste Erwähnung1"/>
    <w:basedOn w:val="Absatz-Standardschriftart"/>
    <w:uiPriority w:val="99"/>
    <w:semiHidden/>
    <w:unhideWhenUsed/>
    <w:rsid w:val="00992CC5"/>
    <w:rPr>
      <w:rFonts w:cs="Times New Roman"/>
      <w:color w:val="605E5C"/>
      <w:shd w:val="clear" w:color="auto" w:fill="E1DFDD"/>
    </w:rPr>
  </w:style>
  <w:style w:type="paragraph" w:styleId="Kopfzeile">
    <w:name w:val="header"/>
    <w:basedOn w:val="Standard"/>
    <w:link w:val="KopfzeileZchn"/>
    <w:uiPriority w:val="99"/>
    <w:unhideWhenUsed/>
    <w:rsid w:val="00986D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986D29"/>
    <w:rPr>
      <w:rFonts w:ascii="Calibri" w:hAnsi="Calibri" w:cs="Calibri"/>
    </w:rPr>
  </w:style>
  <w:style w:type="paragraph" w:styleId="Fuzeile">
    <w:name w:val="footer"/>
    <w:basedOn w:val="Standard"/>
    <w:link w:val="FuzeileZchn"/>
    <w:uiPriority w:val="99"/>
    <w:unhideWhenUsed/>
    <w:rsid w:val="00986D2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986D29"/>
    <w:rPr>
      <w:rFonts w:ascii="Calibri" w:hAnsi="Calibri" w:cs="Calibri"/>
    </w:rPr>
  </w:style>
  <w:style w:type="character" w:styleId="Fett">
    <w:name w:val="Strong"/>
    <w:basedOn w:val="Absatz-Standardschriftart"/>
    <w:uiPriority w:val="22"/>
    <w:qFormat/>
    <w:rsid w:val="00865A61"/>
    <w:rPr>
      <w:rFonts w:cs="Times New Roman"/>
      <w:b/>
      <w:bCs/>
    </w:rPr>
  </w:style>
  <w:style w:type="character" w:styleId="BesuchterLink">
    <w:name w:val="FollowedHyperlink"/>
    <w:basedOn w:val="Absatz-Standardschriftart"/>
    <w:uiPriority w:val="99"/>
    <w:semiHidden/>
    <w:unhideWhenUsed/>
    <w:rsid w:val="00865A61"/>
    <w:rPr>
      <w:rFonts w:cs="Times New Roman"/>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14992"/>
    <w:rPr>
      <w:rFonts w:cs="Times New Roman"/>
      <w:color w:val="605E5C"/>
      <w:shd w:val="clear" w:color="auto" w:fill="E1DFDD"/>
    </w:rPr>
  </w:style>
  <w:style w:type="paragraph" w:styleId="StandardWeb">
    <w:name w:val="Normal (Web)"/>
    <w:basedOn w:val="Standard"/>
    <w:uiPriority w:val="99"/>
    <w:unhideWhenUsed/>
    <w:rsid w:val="00627916"/>
    <w:pPr>
      <w:spacing w:before="100" w:beforeAutospacing="1" w:after="100" w:afterAutospacing="1" w:line="240" w:lineRule="auto"/>
    </w:pPr>
    <w:rPr>
      <w:rFonts w:ascii="Times New Roman" w:hAnsi="Times New Roman" w:cs="Times New Roman"/>
      <w:sz w:val="24"/>
      <w:szCs w:val="24"/>
      <w:lang w:eastAsia="de-DE"/>
    </w:rPr>
  </w:style>
  <w:style w:type="paragraph" w:styleId="berarbeitung">
    <w:name w:val="Revision"/>
    <w:hidden/>
    <w:uiPriority w:val="99"/>
    <w:semiHidden/>
    <w:rsid w:val="005B736C"/>
    <w:pPr>
      <w:spacing w:after="0" w:line="240" w:lineRule="auto"/>
    </w:pPr>
    <w:rPr>
      <w:rFonts w:ascii="Calibri" w:hAnsi="Calibri" w:cs="Calibri"/>
    </w:rPr>
  </w:style>
  <w:style w:type="character" w:customStyle="1" w:styleId="UnresolvedMention">
    <w:name w:val="Unresolved Mention"/>
    <w:basedOn w:val="Absatz-Standardschriftart"/>
    <w:uiPriority w:val="99"/>
    <w:semiHidden/>
    <w:unhideWhenUsed/>
    <w:rsid w:val="00690649"/>
    <w:rPr>
      <w:color w:val="605E5C"/>
      <w:shd w:val="clear" w:color="auto" w:fill="E1DFDD"/>
    </w:rPr>
  </w:style>
  <w:style w:type="table" w:styleId="Tabellenraster">
    <w:name w:val="Table Grid"/>
    <w:basedOn w:val="NormaleTabelle"/>
    <w:uiPriority w:val="59"/>
    <w:rsid w:val="009D0F9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bsatz-Standardschriftart"/>
    <w:rsid w:val="00837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882242">
      <w:bodyDiv w:val="1"/>
      <w:marLeft w:val="0"/>
      <w:marRight w:val="0"/>
      <w:marTop w:val="0"/>
      <w:marBottom w:val="0"/>
      <w:divBdr>
        <w:top w:val="none" w:sz="0" w:space="0" w:color="auto"/>
        <w:left w:val="none" w:sz="0" w:space="0" w:color="auto"/>
        <w:bottom w:val="none" w:sz="0" w:space="0" w:color="auto"/>
        <w:right w:val="none" w:sz="0" w:space="0" w:color="auto"/>
      </w:divBdr>
      <w:divsChild>
        <w:div w:id="2121408235">
          <w:marLeft w:val="0"/>
          <w:marRight w:val="0"/>
          <w:marTop w:val="0"/>
          <w:marBottom w:val="0"/>
          <w:divBdr>
            <w:top w:val="none" w:sz="0" w:space="0" w:color="auto"/>
            <w:left w:val="none" w:sz="0" w:space="0" w:color="auto"/>
            <w:bottom w:val="none" w:sz="0" w:space="0" w:color="auto"/>
            <w:right w:val="none" w:sz="0" w:space="0" w:color="auto"/>
          </w:divBdr>
        </w:div>
        <w:div w:id="515972235">
          <w:marLeft w:val="0"/>
          <w:marRight w:val="0"/>
          <w:marTop w:val="0"/>
          <w:marBottom w:val="0"/>
          <w:divBdr>
            <w:top w:val="none" w:sz="0" w:space="0" w:color="auto"/>
            <w:left w:val="none" w:sz="0" w:space="0" w:color="auto"/>
            <w:bottom w:val="none" w:sz="0" w:space="0" w:color="auto"/>
            <w:right w:val="none" w:sz="0" w:space="0" w:color="auto"/>
          </w:divBdr>
        </w:div>
      </w:divsChild>
    </w:div>
    <w:div w:id="737825738">
      <w:bodyDiv w:val="1"/>
      <w:marLeft w:val="0"/>
      <w:marRight w:val="0"/>
      <w:marTop w:val="0"/>
      <w:marBottom w:val="0"/>
      <w:divBdr>
        <w:top w:val="none" w:sz="0" w:space="0" w:color="auto"/>
        <w:left w:val="none" w:sz="0" w:space="0" w:color="auto"/>
        <w:bottom w:val="none" w:sz="0" w:space="0" w:color="auto"/>
        <w:right w:val="none" w:sz="0" w:space="0" w:color="auto"/>
      </w:divBdr>
      <w:divsChild>
        <w:div w:id="1718509342">
          <w:marLeft w:val="0"/>
          <w:marRight w:val="0"/>
          <w:marTop w:val="0"/>
          <w:marBottom w:val="0"/>
          <w:divBdr>
            <w:top w:val="none" w:sz="0" w:space="0" w:color="auto"/>
            <w:left w:val="none" w:sz="0" w:space="0" w:color="auto"/>
            <w:bottom w:val="none" w:sz="0" w:space="0" w:color="auto"/>
            <w:right w:val="none" w:sz="0" w:space="0" w:color="auto"/>
          </w:divBdr>
        </w:div>
        <w:div w:id="641925708">
          <w:marLeft w:val="0"/>
          <w:marRight w:val="0"/>
          <w:marTop w:val="0"/>
          <w:marBottom w:val="0"/>
          <w:divBdr>
            <w:top w:val="none" w:sz="0" w:space="0" w:color="auto"/>
            <w:left w:val="none" w:sz="0" w:space="0" w:color="auto"/>
            <w:bottom w:val="none" w:sz="0" w:space="0" w:color="auto"/>
            <w:right w:val="none" w:sz="0" w:space="0" w:color="auto"/>
          </w:divBdr>
        </w:div>
      </w:divsChild>
    </w:div>
    <w:div w:id="823933646">
      <w:bodyDiv w:val="1"/>
      <w:marLeft w:val="0"/>
      <w:marRight w:val="0"/>
      <w:marTop w:val="0"/>
      <w:marBottom w:val="0"/>
      <w:divBdr>
        <w:top w:val="none" w:sz="0" w:space="0" w:color="auto"/>
        <w:left w:val="none" w:sz="0" w:space="0" w:color="auto"/>
        <w:bottom w:val="none" w:sz="0" w:space="0" w:color="auto"/>
        <w:right w:val="none" w:sz="0" w:space="0" w:color="auto"/>
      </w:divBdr>
      <w:divsChild>
        <w:div w:id="2011133163">
          <w:marLeft w:val="0"/>
          <w:marRight w:val="0"/>
          <w:marTop w:val="0"/>
          <w:marBottom w:val="0"/>
          <w:divBdr>
            <w:top w:val="none" w:sz="0" w:space="0" w:color="auto"/>
            <w:left w:val="none" w:sz="0" w:space="0" w:color="auto"/>
            <w:bottom w:val="none" w:sz="0" w:space="0" w:color="auto"/>
            <w:right w:val="none" w:sz="0" w:space="0" w:color="auto"/>
          </w:divBdr>
        </w:div>
        <w:div w:id="2075080829">
          <w:marLeft w:val="0"/>
          <w:marRight w:val="0"/>
          <w:marTop w:val="0"/>
          <w:marBottom w:val="0"/>
          <w:divBdr>
            <w:top w:val="none" w:sz="0" w:space="0" w:color="auto"/>
            <w:left w:val="none" w:sz="0" w:space="0" w:color="auto"/>
            <w:bottom w:val="none" w:sz="0" w:space="0" w:color="auto"/>
            <w:right w:val="none" w:sz="0" w:space="0" w:color="auto"/>
          </w:divBdr>
        </w:div>
      </w:divsChild>
    </w:div>
    <w:div w:id="1124425034">
      <w:bodyDiv w:val="1"/>
      <w:marLeft w:val="0"/>
      <w:marRight w:val="0"/>
      <w:marTop w:val="0"/>
      <w:marBottom w:val="0"/>
      <w:divBdr>
        <w:top w:val="none" w:sz="0" w:space="0" w:color="auto"/>
        <w:left w:val="none" w:sz="0" w:space="0" w:color="auto"/>
        <w:bottom w:val="none" w:sz="0" w:space="0" w:color="auto"/>
        <w:right w:val="none" w:sz="0" w:space="0" w:color="auto"/>
      </w:divBdr>
      <w:divsChild>
        <w:div w:id="2052806003">
          <w:marLeft w:val="0"/>
          <w:marRight w:val="0"/>
          <w:marTop w:val="0"/>
          <w:marBottom w:val="0"/>
          <w:divBdr>
            <w:top w:val="none" w:sz="0" w:space="0" w:color="auto"/>
            <w:left w:val="none" w:sz="0" w:space="0" w:color="auto"/>
            <w:bottom w:val="none" w:sz="0" w:space="0" w:color="auto"/>
            <w:right w:val="none" w:sz="0" w:space="0" w:color="auto"/>
          </w:divBdr>
        </w:div>
        <w:div w:id="1238394105">
          <w:marLeft w:val="0"/>
          <w:marRight w:val="0"/>
          <w:marTop w:val="0"/>
          <w:marBottom w:val="0"/>
          <w:divBdr>
            <w:top w:val="none" w:sz="0" w:space="0" w:color="auto"/>
            <w:left w:val="none" w:sz="0" w:space="0" w:color="auto"/>
            <w:bottom w:val="none" w:sz="0" w:space="0" w:color="auto"/>
            <w:right w:val="none" w:sz="0" w:space="0" w:color="auto"/>
          </w:divBdr>
        </w:div>
        <w:div w:id="1380469573">
          <w:marLeft w:val="0"/>
          <w:marRight w:val="0"/>
          <w:marTop w:val="0"/>
          <w:marBottom w:val="0"/>
          <w:divBdr>
            <w:top w:val="none" w:sz="0" w:space="0" w:color="auto"/>
            <w:left w:val="none" w:sz="0" w:space="0" w:color="auto"/>
            <w:bottom w:val="none" w:sz="0" w:space="0" w:color="auto"/>
            <w:right w:val="none" w:sz="0" w:space="0" w:color="auto"/>
          </w:divBdr>
        </w:div>
      </w:divsChild>
    </w:div>
    <w:div w:id="1298683517">
      <w:bodyDiv w:val="1"/>
      <w:marLeft w:val="0"/>
      <w:marRight w:val="0"/>
      <w:marTop w:val="0"/>
      <w:marBottom w:val="0"/>
      <w:divBdr>
        <w:top w:val="none" w:sz="0" w:space="0" w:color="auto"/>
        <w:left w:val="none" w:sz="0" w:space="0" w:color="auto"/>
        <w:bottom w:val="none" w:sz="0" w:space="0" w:color="auto"/>
        <w:right w:val="none" w:sz="0" w:space="0" w:color="auto"/>
      </w:divBdr>
    </w:div>
    <w:div w:id="1495222009">
      <w:bodyDiv w:val="1"/>
      <w:marLeft w:val="0"/>
      <w:marRight w:val="0"/>
      <w:marTop w:val="0"/>
      <w:marBottom w:val="0"/>
      <w:divBdr>
        <w:top w:val="none" w:sz="0" w:space="0" w:color="auto"/>
        <w:left w:val="none" w:sz="0" w:space="0" w:color="auto"/>
        <w:bottom w:val="none" w:sz="0" w:space="0" w:color="auto"/>
        <w:right w:val="none" w:sz="0" w:space="0" w:color="auto"/>
      </w:divBdr>
    </w:div>
    <w:div w:id="1500074051">
      <w:bodyDiv w:val="1"/>
      <w:marLeft w:val="0"/>
      <w:marRight w:val="0"/>
      <w:marTop w:val="0"/>
      <w:marBottom w:val="0"/>
      <w:divBdr>
        <w:top w:val="none" w:sz="0" w:space="0" w:color="auto"/>
        <w:left w:val="none" w:sz="0" w:space="0" w:color="auto"/>
        <w:bottom w:val="none" w:sz="0" w:space="0" w:color="auto"/>
        <w:right w:val="none" w:sz="0" w:space="0" w:color="auto"/>
      </w:divBdr>
      <w:divsChild>
        <w:div w:id="600838914">
          <w:marLeft w:val="0"/>
          <w:marRight w:val="0"/>
          <w:marTop w:val="0"/>
          <w:marBottom w:val="0"/>
          <w:divBdr>
            <w:top w:val="none" w:sz="0" w:space="0" w:color="auto"/>
            <w:left w:val="none" w:sz="0" w:space="0" w:color="auto"/>
            <w:bottom w:val="none" w:sz="0" w:space="0" w:color="auto"/>
            <w:right w:val="none" w:sz="0" w:space="0" w:color="auto"/>
          </w:divBdr>
        </w:div>
        <w:div w:id="1134130750">
          <w:marLeft w:val="0"/>
          <w:marRight w:val="0"/>
          <w:marTop w:val="0"/>
          <w:marBottom w:val="0"/>
          <w:divBdr>
            <w:top w:val="none" w:sz="0" w:space="0" w:color="auto"/>
            <w:left w:val="none" w:sz="0" w:space="0" w:color="auto"/>
            <w:bottom w:val="none" w:sz="0" w:space="0" w:color="auto"/>
            <w:right w:val="none" w:sz="0" w:space="0" w:color="auto"/>
          </w:divBdr>
        </w:div>
        <w:div w:id="1628664604">
          <w:marLeft w:val="0"/>
          <w:marRight w:val="0"/>
          <w:marTop w:val="0"/>
          <w:marBottom w:val="0"/>
          <w:divBdr>
            <w:top w:val="none" w:sz="0" w:space="0" w:color="auto"/>
            <w:left w:val="none" w:sz="0" w:space="0" w:color="auto"/>
            <w:bottom w:val="none" w:sz="0" w:space="0" w:color="auto"/>
            <w:right w:val="none" w:sz="0" w:space="0" w:color="auto"/>
          </w:divBdr>
        </w:div>
        <w:div w:id="368460484">
          <w:marLeft w:val="0"/>
          <w:marRight w:val="0"/>
          <w:marTop w:val="0"/>
          <w:marBottom w:val="0"/>
          <w:divBdr>
            <w:top w:val="none" w:sz="0" w:space="0" w:color="auto"/>
            <w:left w:val="none" w:sz="0" w:space="0" w:color="auto"/>
            <w:bottom w:val="none" w:sz="0" w:space="0" w:color="auto"/>
            <w:right w:val="none" w:sz="0" w:space="0" w:color="auto"/>
          </w:divBdr>
        </w:div>
        <w:div w:id="2561638">
          <w:marLeft w:val="0"/>
          <w:marRight w:val="0"/>
          <w:marTop w:val="0"/>
          <w:marBottom w:val="0"/>
          <w:divBdr>
            <w:top w:val="none" w:sz="0" w:space="0" w:color="auto"/>
            <w:left w:val="none" w:sz="0" w:space="0" w:color="auto"/>
            <w:bottom w:val="none" w:sz="0" w:space="0" w:color="auto"/>
            <w:right w:val="none" w:sz="0" w:space="0" w:color="auto"/>
          </w:divBdr>
        </w:div>
      </w:divsChild>
    </w:div>
    <w:div w:id="1502888006">
      <w:bodyDiv w:val="1"/>
      <w:marLeft w:val="0"/>
      <w:marRight w:val="0"/>
      <w:marTop w:val="0"/>
      <w:marBottom w:val="0"/>
      <w:divBdr>
        <w:top w:val="none" w:sz="0" w:space="0" w:color="auto"/>
        <w:left w:val="none" w:sz="0" w:space="0" w:color="auto"/>
        <w:bottom w:val="none" w:sz="0" w:space="0" w:color="auto"/>
        <w:right w:val="none" w:sz="0" w:space="0" w:color="auto"/>
      </w:divBdr>
      <w:divsChild>
        <w:div w:id="118453740">
          <w:marLeft w:val="0"/>
          <w:marRight w:val="0"/>
          <w:marTop w:val="0"/>
          <w:marBottom w:val="0"/>
          <w:divBdr>
            <w:top w:val="none" w:sz="0" w:space="0" w:color="auto"/>
            <w:left w:val="none" w:sz="0" w:space="0" w:color="auto"/>
            <w:bottom w:val="none" w:sz="0" w:space="0" w:color="auto"/>
            <w:right w:val="none" w:sz="0" w:space="0" w:color="auto"/>
          </w:divBdr>
        </w:div>
        <w:div w:id="116261960">
          <w:marLeft w:val="0"/>
          <w:marRight w:val="0"/>
          <w:marTop w:val="0"/>
          <w:marBottom w:val="0"/>
          <w:divBdr>
            <w:top w:val="none" w:sz="0" w:space="0" w:color="auto"/>
            <w:left w:val="none" w:sz="0" w:space="0" w:color="auto"/>
            <w:bottom w:val="none" w:sz="0" w:space="0" w:color="auto"/>
            <w:right w:val="none" w:sz="0" w:space="0" w:color="auto"/>
          </w:divBdr>
        </w:div>
      </w:divsChild>
    </w:div>
    <w:div w:id="1602185248">
      <w:marLeft w:val="0"/>
      <w:marRight w:val="0"/>
      <w:marTop w:val="0"/>
      <w:marBottom w:val="0"/>
      <w:divBdr>
        <w:top w:val="none" w:sz="0" w:space="0" w:color="auto"/>
        <w:left w:val="none" w:sz="0" w:space="0" w:color="auto"/>
        <w:bottom w:val="none" w:sz="0" w:space="0" w:color="auto"/>
        <w:right w:val="none" w:sz="0" w:space="0" w:color="auto"/>
      </w:divBdr>
    </w:div>
    <w:div w:id="1602185249">
      <w:marLeft w:val="0"/>
      <w:marRight w:val="0"/>
      <w:marTop w:val="0"/>
      <w:marBottom w:val="0"/>
      <w:divBdr>
        <w:top w:val="none" w:sz="0" w:space="0" w:color="auto"/>
        <w:left w:val="none" w:sz="0" w:space="0" w:color="auto"/>
        <w:bottom w:val="none" w:sz="0" w:space="0" w:color="auto"/>
        <w:right w:val="none" w:sz="0" w:space="0" w:color="auto"/>
      </w:divBdr>
    </w:div>
    <w:div w:id="1602185250">
      <w:marLeft w:val="0"/>
      <w:marRight w:val="0"/>
      <w:marTop w:val="0"/>
      <w:marBottom w:val="0"/>
      <w:divBdr>
        <w:top w:val="none" w:sz="0" w:space="0" w:color="auto"/>
        <w:left w:val="none" w:sz="0" w:space="0" w:color="auto"/>
        <w:bottom w:val="none" w:sz="0" w:space="0" w:color="auto"/>
        <w:right w:val="none" w:sz="0" w:space="0" w:color="auto"/>
      </w:divBdr>
    </w:div>
    <w:div w:id="1602185251">
      <w:marLeft w:val="0"/>
      <w:marRight w:val="0"/>
      <w:marTop w:val="0"/>
      <w:marBottom w:val="0"/>
      <w:divBdr>
        <w:top w:val="none" w:sz="0" w:space="0" w:color="auto"/>
        <w:left w:val="none" w:sz="0" w:space="0" w:color="auto"/>
        <w:bottom w:val="none" w:sz="0" w:space="0" w:color="auto"/>
        <w:right w:val="none" w:sz="0" w:space="0" w:color="auto"/>
      </w:divBdr>
    </w:div>
    <w:div w:id="1602185252">
      <w:marLeft w:val="0"/>
      <w:marRight w:val="0"/>
      <w:marTop w:val="0"/>
      <w:marBottom w:val="0"/>
      <w:divBdr>
        <w:top w:val="none" w:sz="0" w:space="0" w:color="auto"/>
        <w:left w:val="none" w:sz="0" w:space="0" w:color="auto"/>
        <w:bottom w:val="none" w:sz="0" w:space="0" w:color="auto"/>
        <w:right w:val="none" w:sz="0" w:space="0" w:color="auto"/>
      </w:divBdr>
    </w:div>
    <w:div w:id="1778865108">
      <w:bodyDiv w:val="1"/>
      <w:marLeft w:val="0"/>
      <w:marRight w:val="0"/>
      <w:marTop w:val="0"/>
      <w:marBottom w:val="0"/>
      <w:divBdr>
        <w:top w:val="none" w:sz="0" w:space="0" w:color="auto"/>
        <w:left w:val="none" w:sz="0" w:space="0" w:color="auto"/>
        <w:bottom w:val="none" w:sz="0" w:space="0" w:color="auto"/>
        <w:right w:val="none" w:sz="0" w:space="0" w:color="auto"/>
      </w:divBdr>
    </w:div>
    <w:div w:id="1790975467">
      <w:bodyDiv w:val="1"/>
      <w:marLeft w:val="0"/>
      <w:marRight w:val="0"/>
      <w:marTop w:val="0"/>
      <w:marBottom w:val="0"/>
      <w:divBdr>
        <w:top w:val="none" w:sz="0" w:space="0" w:color="auto"/>
        <w:left w:val="none" w:sz="0" w:space="0" w:color="auto"/>
        <w:bottom w:val="none" w:sz="0" w:space="0" w:color="auto"/>
        <w:right w:val="none" w:sz="0" w:space="0" w:color="auto"/>
      </w:divBdr>
      <w:divsChild>
        <w:div w:id="1089696816">
          <w:marLeft w:val="0"/>
          <w:marRight w:val="0"/>
          <w:marTop w:val="0"/>
          <w:marBottom w:val="0"/>
          <w:divBdr>
            <w:top w:val="none" w:sz="0" w:space="0" w:color="auto"/>
            <w:left w:val="none" w:sz="0" w:space="0" w:color="auto"/>
            <w:bottom w:val="none" w:sz="0" w:space="0" w:color="auto"/>
            <w:right w:val="none" w:sz="0" w:space="0" w:color="auto"/>
          </w:divBdr>
        </w:div>
        <w:div w:id="142696760">
          <w:marLeft w:val="0"/>
          <w:marRight w:val="0"/>
          <w:marTop w:val="0"/>
          <w:marBottom w:val="0"/>
          <w:divBdr>
            <w:top w:val="none" w:sz="0" w:space="0" w:color="auto"/>
            <w:left w:val="none" w:sz="0" w:space="0" w:color="auto"/>
            <w:bottom w:val="none" w:sz="0" w:space="0" w:color="auto"/>
            <w:right w:val="none" w:sz="0" w:space="0" w:color="auto"/>
          </w:divBdr>
        </w:div>
        <w:div w:id="1109809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pr-online.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s@epr-online.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de.de" TargetMode="External"/><Relationship Id="rId5" Type="http://schemas.openxmlformats.org/officeDocument/2006/relationships/styles" Target="styles.xml"/><Relationship Id="rId15" Type="http://schemas.openxmlformats.org/officeDocument/2006/relationships/hyperlink" Target="http://www.epr-online.com" TargetMode="External"/><Relationship Id="rId10" Type="http://schemas.openxmlformats.org/officeDocument/2006/relationships/hyperlink" Target="mailto:info@tde.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t@epr-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8CB5802A259FD48BF3EBA8B6A091433" ma:contentTypeVersion="12" ma:contentTypeDescription="Ein neues Dokument erstellen." ma:contentTypeScope="" ma:versionID="37dfb358ce2b7329c38c1838146fa26a">
  <xsd:schema xmlns:xsd="http://www.w3.org/2001/XMLSchema" xmlns:xs="http://www.w3.org/2001/XMLSchema" xmlns:p="http://schemas.microsoft.com/office/2006/metadata/properties" xmlns:ns2="767845a4-9e8d-47dc-a6ae-60a9828df89d" xmlns:ns3="61c9187e-b015-4e8a-9477-780509d1e15a" targetNamespace="http://schemas.microsoft.com/office/2006/metadata/properties" ma:root="true" ma:fieldsID="efbf6646494b3aacd1ffcbb92a09767f" ns2:_="" ns3:_="">
    <xsd:import namespace="767845a4-9e8d-47dc-a6ae-60a9828df89d"/>
    <xsd:import namespace="61c9187e-b015-4e8a-9477-780509d1e1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845a4-9e8d-47dc-a6ae-60a9828df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9187e-b015-4e8a-9477-780509d1e15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036820-65BF-4AF6-8CD0-9C058377EF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445D3F-E247-4342-A8D4-3387003F7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845a4-9e8d-47dc-a6ae-60a9828df89d"/>
    <ds:schemaRef ds:uri="61c9187e-b015-4e8a-9477-780509d1e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375378-6D4E-4BB2-BC4E-59B1044A7E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1324</Words>
  <Characters>8348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Frauke Schütz | epr - elsaesser public relations</dc:creator>
  <cp:lastModifiedBy>Elke Thiergärtner | epr - elsaesser public relations</cp:lastModifiedBy>
  <cp:revision>2</cp:revision>
  <dcterms:created xsi:type="dcterms:W3CDTF">2021-06-21T10:30:00Z</dcterms:created>
  <dcterms:modified xsi:type="dcterms:W3CDTF">2021-06-21T10:30:00Z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0x010100A8CB5802A259FD48BF3EBA8B6A091433</vt:lpwstr>
  </property>
</Properties>
</file>