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F4E1" w14:textId="77777777" w:rsidR="00986D29" w:rsidRDefault="00986D29" w:rsidP="0047393B">
      <w:pPr>
        <w:spacing w:line="360" w:lineRule="auto"/>
        <w:rPr>
          <w:b/>
          <w:bCs/>
          <w:u w:val="single"/>
        </w:rPr>
      </w:pPr>
    </w:p>
    <w:p w14:paraId="5D7F33ED" w14:textId="77777777" w:rsidR="00986D29" w:rsidRDefault="00986D29" w:rsidP="00986D29">
      <w:pPr>
        <w:spacing w:line="360" w:lineRule="auto"/>
        <w:jc w:val="right"/>
        <w:rPr>
          <w:b/>
          <w:bCs/>
          <w:u w:val="single"/>
        </w:rPr>
      </w:pPr>
      <w:r w:rsidRPr="00DE7D51">
        <w:rPr>
          <w:rFonts w:ascii="Verdana" w:hAnsi="Verdana" w:cs="Verdana"/>
          <w:color w:val="808080"/>
          <w:sz w:val="20"/>
          <w:szCs w:val="20"/>
        </w:rPr>
        <w:t>Pressemitteilung</w:t>
      </w:r>
    </w:p>
    <w:p w14:paraId="79FC2A9E" w14:textId="25E140ED" w:rsidR="00AE037A" w:rsidRPr="00AE037A" w:rsidRDefault="00AE037A" w:rsidP="00AE037A">
      <w:pPr>
        <w:pStyle w:val="Kommentartext"/>
        <w:rPr>
          <w:b/>
          <w:bCs/>
          <w:u w:val="single"/>
        </w:rPr>
      </w:pPr>
      <w:r>
        <w:rPr>
          <w:b/>
          <w:bCs/>
          <w:u w:val="single"/>
        </w:rPr>
        <w:t xml:space="preserve">Ordnung und Überblick im Netzwerkverteiler: </w:t>
      </w:r>
      <w:r w:rsidRPr="00AE037A">
        <w:rPr>
          <w:b/>
          <w:bCs/>
          <w:u w:val="single"/>
        </w:rPr>
        <w:t>trans data elektronik erweitert Patchkabelmanagement-System tPM</w:t>
      </w:r>
    </w:p>
    <w:p w14:paraId="78B687EF" w14:textId="7DFA1649" w:rsidR="00AE037A" w:rsidRPr="00590066" w:rsidRDefault="00AE037A" w:rsidP="00AE037A">
      <w:pPr>
        <w:spacing w:line="360" w:lineRule="auto"/>
        <w:rPr>
          <w:b/>
          <w:bCs/>
          <w:sz w:val="36"/>
          <w:szCs w:val="36"/>
        </w:rPr>
      </w:pPr>
      <w:r w:rsidRPr="00590066">
        <w:rPr>
          <w:b/>
          <w:sz w:val="28"/>
          <w:szCs w:val="28"/>
        </w:rPr>
        <w:t xml:space="preserve">tPM von tde ab sofort mit </w:t>
      </w:r>
      <w:r w:rsidR="0006608B" w:rsidRPr="00590066">
        <w:rPr>
          <w:b/>
          <w:sz w:val="28"/>
          <w:szCs w:val="28"/>
        </w:rPr>
        <w:t xml:space="preserve">integrierten </w:t>
      </w:r>
      <w:r w:rsidRPr="00590066">
        <w:rPr>
          <w:b/>
          <w:sz w:val="28"/>
          <w:szCs w:val="28"/>
        </w:rPr>
        <w:t xml:space="preserve">Kabeldurchführungen und vertikalen Trägerplatten </w:t>
      </w:r>
    </w:p>
    <w:p w14:paraId="203FF1E7" w14:textId="10980073" w:rsidR="00DF47EB" w:rsidRPr="0058210D" w:rsidRDefault="00DF47EB" w:rsidP="00DF47EB">
      <w:pPr>
        <w:spacing w:line="360" w:lineRule="auto"/>
        <w:jc w:val="both"/>
        <w:rPr>
          <w:b/>
          <w:bCs/>
        </w:rPr>
      </w:pPr>
      <w:r w:rsidRPr="0058210D">
        <w:rPr>
          <w:b/>
          <w:bCs/>
        </w:rPr>
        <w:t xml:space="preserve">Dortmund, </w:t>
      </w:r>
      <w:r w:rsidR="00690649">
        <w:rPr>
          <w:b/>
          <w:bCs/>
        </w:rPr>
        <w:t>22</w:t>
      </w:r>
      <w:r w:rsidRPr="0058210D">
        <w:rPr>
          <w:b/>
          <w:bCs/>
        </w:rPr>
        <w:t xml:space="preserve">. </w:t>
      </w:r>
      <w:r w:rsidR="00017639">
        <w:rPr>
          <w:b/>
          <w:bCs/>
        </w:rPr>
        <w:t>April</w:t>
      </w:r>
      <w:r w:rsidRPr="0058210D">
        <w:rPr>
          <w:b/>
          <w:bCs/>
        </w:rPr>
        <w:t xml:space="preserve"> 2021. </w:t>
      </w:r>
      <w:r>
        <w:rPr>
          <w:b/>
          <w:bCs/>
        </w:rPr>
        <w:t xml:space="preserve">Die tde - trans data elektronik GmbH </w:t>
      </w:r>
      <w:r w:rsidR="0079050D">
        <w:rPr>
          <w:b/>
          <w:bCs/>
        </w:rPr>
        <w:t xml:space="preserve">baut </w:t>
      </w:r>
      <w:r w:rsidR="00AE037A">
        <w:rPr>
          <w:b/>
          <w:bCs/>
        </w:rPr>
        <w:t xml:space="preserve">ihr </w:t>
      </w:r>
      <w:r w:rsidR="0079050D">
        <w:rPr>
          <w:b/>
          <w:bCs/>
        </w:rPr>
        <w:t>tPM-Konzept weiter aus und ergänzt</w:t>
      </w:r>
      <w:r>
        <w:rPr>
          <w:b/>
          <w:bCs/>
        </w:rPr>
        <w:t xml:space="preserve"> ihr erfolgreiches Patchkabelmanagement-System um zwei neue </w:t>
      </w:r>
      <w:r w:rsidR="00B61EBB">
        <w:rPr>
          <w:b/>
          <w:bCs/>
        </w:rPr>
        <w:t>Komponenten</w:t>
      </w:r>
      <w:r>
        <w:rPr>
          <w:b/>
          <w:bCs/>
        </w:rPr>
        <w:t>: Ab sofort stehen Netzwerktechnikern eine 19-Zoll-Trägerplatte auf einer Höheneinheit (HE) mit zwei integrierten Kabeldurchführungen sowie vertikale Trägerplatten für das vertikale Patchkabelmanagement zur Verfügung. In Verbindung mit den modularen Verkabelungsplattform</w:t>
      </w:r>
      <w:r w:rsidR="00DC2456">
        <w:rPr>
          <w:b/>
          <w:bCs/>
        </w:rPr>
        <w:t>en</w:t>
      </w:r>
      <w:r>
        <w:rPr>
          <w:b/>
          <w:bCs/>
        </w:rPr>
        <w:t xml:space="preserve"> tML</w:t>
      </w:r>
      <w:r w:rsidR="000C10F8">
        <w:rPr>
          <w:b/>
          <w:bCs/>
        </w:rPr>
        <w:t>,</w:t>
      </w:r>
      <w:r>
        <w:rPr>
          <w:b/>
          <w:bCs/>
        </w:rPr>
        <w:t xml:space="preserve"> tSML</w:t>
      </w:r>
      <w:r w:rsidR="000C10F8">
        <w:rPr>
          <w:b/>
          <w:bCs/>
        </w:rPr>
        <w:t xml:space="preserve"> und tBL</w:t>
      </w:r>
      <w:r>
        <w:rPr>
          <w:b/>
          <w:bCs/>
        </w:rPr>
        <w:t xml:space="preserve"> profitieren Kunden von sauber strukturierten und energieeffizienten Verkabelungen mit höchsten Packungsdichten auf kompaktem Raum. </w:t>
      </w:r>
    </w:p>
    <w:p w14:paraId="502FF565" w14:textId="4AD44C7E" w:rsidR="00DF47EB" w:rsidRDefault="00DF47EB" w:rsidP="00DF47EB">
      <w:pPr>
        <w:spacing w:line="360" w:lineRule="auto"/>
      </w:pPr>
      <w:r>
        <w:t>Das tPM-System ist ein patentiertes Patchkabelmanagement-System für die geordnete Patchkabelführung im Netzwerkverteiler. Es besteht aus einer 19</w:t>
      </w:r>
      <w:r w:rsidR="00017639">
        <w:t>-</w:t>
      </w:r>
      <w:r>
        <w:t xml:space="preserve">Zoll großen Trägerplatte auf einer Höheneinheit, Kabelführungshalter und Schaumstoffeinlagen. </w:t>
      </w:r>
      <w:r w:rsidR="0052778C">
        <w:t xml:space="preserve">Letztere stellt die tde passend für unterschiedliche Kabeldurchmesser zur Verfügung. </w:t>
      </w:r>
      <w:r w:rsidR="00017639">
        <w:t xml:space="preserve">Die </w:t>
      </w:r>
      <w:r>
        <w:t xml:space="preserve">integrierte Zugentlastung schützt die Kabel vor mechanischer Beanspruchung. Dadurch lassen sich überflüssige Dämpfungserhöhungen </w:t>
      </w:r>
      <w:r w:rsidR="00DC2456">
        <w:t>infolge</w:t>
      </w:r>
      <w:r>
        <w:t xml:space="preserve"> von Faserstress verhindern. Dies ist vor allem vor dem Hintergrund niedriger Dämpfungsbudgets bei hohen Übertragungsraten von Vorteil.</w:t>
      </w:r>
      <w:r w:rsidR="000C10F8">
        <w:t xml:space="preserve"> </w:t>
      </w:r>
      <w:r>
        <w:t>Mit zwei neuen Produkten ergänzt die tde jetzt ihr tPM-System und baut das Konzept der geordneten Patchkabelführung und integrierten Zugentlastung aus.</w:t>
      </w:r>
    </w:p>
    <w:p w14:paraId="4766B79C" w14:textId="055BE407" w:rsidR="00DF47EB" w:rsidRPr="00EF7866" w:rsidRDefault="00DF47EB" w:rsidP="00DF47EB">
      <w:pPr>
        <w:spacing w:line="360" w:lineRule="auto"/>
        <w:rPr>
          <w:rFonts w:eastAsiaTheme="minorHAnsi"/>
        </w:rPr>
      </w:pPr>
      <w:r w:rsidRPr="00EC6B7F">
        <w:rPr>
          <w:i/>
          <w:iCs/>
        </w:rPr>
        <w:t xml:space="preserve">Professionelle Kabelführung direkt ins Patchfeld </w:t>
      </w:r>
      <w:r w:rsidR="00A4074E">
        <w:rPr>
          <w:i/>
          <w:iCs/>
        </w:rPr>
        <w:br/>
      </w:r>
      <w:r>
        <w:t xml:space="preserve">Ihre neue tPM-19-Zoll-Trägerplatte hat die tde mit zwei integrierten Kabeldurchführungen designt: Führen Netzwerktechniker die Patchkabel normalerweise nach links und rechts, so lassen sich </w:t>
      </w:r>
      <w:r w:rsidR="00ED0C8F">
        <w:t xml:space="preserve">diese </w:t>
      </w:r>
      <w:r>
        <w:t>nun auf kürzestem Weg innerhalb der 19-Zoll</w:t>
      </w:r>
      <w:r w:rsidR="000F5782">
        <w:t>-</w:t>
      </w:r>
      <w:r>
        <w:t>Eben</w:t>
      </w:r>
      <w:r w:rsidR="00DC2456">
        <w:t>e</w:t>
      </w:r>
      <w:r>
        <w:t xml:space="preserve"> nach hinten in das Schrankinnere </w:t>
      </w:r>
      <w:r w:rsidR="00AE037A">
        <w:t>verlegen</w:t>
      </w:r>
      <w:r>
        <w:t>. Um eine Abschottung zwischen Kalt- und Warmgang zu erreichen, hat die tde die Kabeldurchführungen mit einer Bürstenleiste abgedichtet. Zusätzlich lassen sich tPM-Kabelführungshalter in der Mitte und links oder rechts</w:t>
      </w:r>
      <w:r w:rsidR="0052778C">
        <w:t xml:space="preserve"> werkzeuglos</w:t>
      </w:r>
      <w:r>
        <w:t xml:space="preserve"> montieren. „Wir optimieren unser tPM-Patchkabelmanagement-System kontinuierlich und berücksichtigen dabei auch die speziellen Wünsche unserer Kunden“, sagt André Engel, Geschäftsführer der tde. „Mit den wachsenden Anforderungen an die Netzwerkverkabelung steigt auch die Zahl der Patchkabel in </w:t>
      </w:r>
      <w:r w:rsidR="000C10F8">
        <w:t>Netzwerkverteilern</w:t>
      </w:r>
      <w:r>
        <w:t xml:space="preserve"> kontinuierlich - unser tPM-Konzept schafft Ordnung und verbessert den Überblick. Darauf setzen auch zahlreich</w:t>
      </w:r>
      <w:r w:rsidR="00DC2456">
        <w:t>e</w:t>
      </w:r>
      <w:r>
        <w:t xml:space="preserve"> </w:t>
      </w:r>
      <w:r>
        <w:lastRenderedPageBreak/>
        <w:t xml:space="preserve">renommierte Kunden – von der Automobilindustrie bis </w:t>
      </w:r>
      <w:r w:rsidR="00DC2456">
        <w:t xml:space="preserve">hin </w:t>
      </w:r>
      <w:r>
        <w:t xml:space="preserve">zu Anbietern von Internetknotenpunkten.“ </w:t>
      </w:r>
    </w:p>
    <w:p w14:paraId="4A9EA9D2" w14:textId="0B078194" w:rsidR="00DF47EB" w:rsidRDefault="00DF47EB" w:rsidP="00DF47EB">
      <w:pPr>
        <w:spacing w:line="360" w:lineRule="auto"/>
      </w:pPr>
      <w:r w:rsidRPr="00D9661B">
        <w:rPr>
          <w:i/>
          <w:iCs/>
        </w:rPr>
        <w:t xml:space="preserve">Vertikales tPM-Patchkabelmanagement </w:t>
      </w:r>
      <w:r>
        <w:rPr>
          <w:i/>
          <w:iCs/>
        </w:rPr>
        <w:br/>
      </w:r>
      <w:r>
        <w:t xml:space="preserve">Als weitere Ergänzung stellt die tde jetzt auch ein </w:t>
      </w:r>
      <w:r w:rsidRPr="008939D0">
        <w:t>vertikales tPM</w:t>
      </w:r>
      <w:r>
        <w:t>-</w:t>
      </w:r>
      <w:r w:rsidRPr="008939D0">
        <w:t>Patchkabelmanagement</w:t>
      </w:r>
      <w:r>
        <w:t xml:space="preserve"> bereit: </w:t>
      </w:r>
      <w:r w:rsidRPr="008939D0">
        <w:t xml:space="preserve">Die </w:t>
      </w:r>
      <w:r>
        <w:t xml:space="preserve">neuen </w:t>
      </w:r>
      <w:r w:rsidRPr="008939D0">
        <w:t>vertikalen tPM</w:t>
      </w:r>
      <w:r>
        <w:t>-</w:t>
      </w:r>
      <w:r w:rsidRPr="008939D0">
        <w:t xml:space="preserve">Trägerplatten </w:t>
      </w:r>
      <w:r>
        <w:t xml:space="preserve">lassen sich einfach in </w:t>
      </w:r>
      <w:r w:rsidRPr="008939D0">
        <w:t>allen gängigen Netzwerkschränken montier</w:t>
      </w:r>
      <w:r>
        <w:t>en. Netzwerktechniker können Neu- und Umverkabelungen leichter vornehmen</w:t>
      </w:r>
      <w:r w:rsidR="00690649">
        <w:t xml:space="preserve">. </w:t>
      </w:r>
      <w:r>
        <w:t xml:space="preserve">Zugleich trägt das tPM-System auch zu einer effizienteren Lüftung des Serverschranks und damit zu mehr Green-IT im Rechenzentrum bei. </w:t>
      </w:r>
    </w:p>
    <w:p w14:paraId="43E5C870" w14:textId="2FAB2D0F" w:rsidR="00DF47EB" w:rsidRDefault="000C10F8" w:rsidP="00DF47EB">
      <w:pPr>
        <w:spacing w:line="360" w:lineRule="auto"/>
      </w:pPr>
      <w:r>
        <w:t>Das</w:t>
      </w:r>
      <w:r w:rsidR="00DF47EB">
        <w:t xml:space="preserve"> tPM-Patchkabelmanagement </w:t>
      </w:r>
      <w:r>
        <w:t>ist die ideale Ergänzung zu</w:t>
      </w:r>
      <w:r w:rsidR="00DF47EB">
        <w:t xml:space="preserve"> den tde-eigenen modularen Plug-and-play</w:t>
      </w:r>
      <w:r w:rsidR="00532BA2">
        <w:t>-</w:t>
      </w:r>
      <w:r w:rsidR="00DF47EB">
        <w:t>Verkabelungsplattformen tML – tde Modular Link und tSML- tde Semi Modular Link</w:t>
      </w:r>
      <w:r w:rsidR="0052778C">
        <w:t xml:space="preserve"> </w:t>
      </w:r>
      <w:r>
        <w:t>in Kombination mit hohen Packungsdichten</w:t>
      </w:r>
      <w:r w:rsidR="0052778C">
        <w:t>.</w:t>
      </w:r>
      <w:r w:rsidR="00017639">
        <w:t xml:space="preserve"> Die tde stellt ihre Lösung auch für Verkabelungssysteme anderer Hersteller bereit. </w:t>
      </w:r>
    </w:p>
    <w:p w14:paraId="614740C9" w14:textId="77777777" w:rsidR="00DF47EB" w:rsidRDefault="00DF47EB" w:rsidP="00DF47EB">
      <w:pPr>
        <w:spacing w:line="360" w:lineRule="auto"/>
        <w:rPr>
          <w:rStyle w:val="Hyperlink"/>
        </w:rPr>
      </w:pPr>
      <w:r w:rsidRPr="000F5782">
        <w:rPr>
          <w:i/>
          <w:iCs/>
        </w:rPr>
        <w:t>Weitere Informationen zum tPM – tde Patchkabelmanagement-System unter:</w:t>
      </w:r>
      <w:r w:rsidRPr="000F5782">
        <w:rPr>
          <w:i/>
          <w:iCs/>
        </w:rPr>
        <w:br/>
      </w:r>
      <w:hyperlink r:id="rId10" w:history="1">
        <w:r w:rsidRPr="00B55383">
          <w:rPr>
            <w:rStyle w:val="Hyperlink"/>
          </w:rPr>
          <w:t>https://mdb.tde.de/download.php?datei_id=9527&amp;inline</w:t>
        </w:r>
      </w:hyperlink>
    </w:p>
    <w:p w14:paraId="0E1AD231" w14:textId="77777777" w:rsidR="00E843AA" w:rsidRDefault="00E843AA" w:rsidP="004576F2">
      <w:pPr>
        <w:rPr>
          <w:rStyle w:val="Hyperlink"/>
          <w:rFonts w:cs="Calibri"/>
        </w:rPr>
      </w:pPr>
      <w:r>
        <w:rPr>
          <w:rFonts w:cs="Verdana"/>
          <w:b/>
          <w:bCs/>
          <w:sz w:val="18"/>
          <w:szCs w:val="16"/>
        </w:rPr>
        <w:t>Über die tde – trans data elektronik GmbH</w:t>
      </w:r>
      <w:r>
        <w:rPr>
          <w:sz w:val="18"/>
          <w:szCs w:val="16"/>
        </w:rPr>
        <w:br/>
        <w:t xml:space="preserve">Als international erfolgreiches Unternehmen ist die tde – trans data elektronik GmbH seit mehr als 25 Jahren auf die Entwicklung und Herstellung skalierbarer Verkabelungssysteme für größte Packungsdichten spezialisiert. Auch das </w:t>
      </w:r>
      <w:r>
        <w:rPr>
          <w:rFonts w:cs="Cambria"/>
          <w:sz w:val="18"/>
          <w:szCs w:val="16"/>
        </w:rPr>
        <w:t xml:space="preserve">Kernforschungszentrum </w:t>
      </w:r>
      <w:r>
        <w:rPr>
          <w:bCs/>
          <w:color w:val="000000"/>
          <w:sz w:val="18"/>
          <w:szCs w:val="16"/>
          <w:shd w:val="clear" w:color="auto" w:fill="FFFFFF"/>
        </w:rPr>
        <w:t>CERN vertraut auf das Know-how des Technologieführers in der</w:t>
      </w:r>
      <w:r>
        <w:rPr>
          <w:sz w:val="18"/>
          <w:szCs w:val="16"/>
        </w:rPr>
        <w:t xml:space="preserve"> Mehrfasertechnik (MPO)</w:t>
      </w:r>
      <w:r>
        <w:rPr>
          <w:color w:val="000000"/>
          <w:sz w:val="18"/>
          <w:szCs w:val="16"/>
        </w:rPr>
        <w:t xml:space="preserve">. Das Portfolio </w:t>
      </w:r>
      <w:r>
        <w:rPr>
          <w:sz w:val="18"/>
          <w:szCs w:val="16"/>
        </w:rPr>
        <w:t xml:space="preserve">„Made in Germany“ </w:t>
      </w:r>
      <w:r>
        <w:rPr>
          <w:color w:val="000000"/>
          <w:sz w:val="18"/>
          <w:szCs w:val="16"/>
        </w:rPr>
        <w:t>umfasst komplette Systemlösungen mit Schwerpunkt Plug-and-play</w:t>
      </w:r>
      <w:r>
        <w:rPr>
          <w:sz w:val="18"/>
          <w:szCs w:val="16"/>
        </w:rPr>
        <w:t xml:space="preserve"> für High-Speed-Anwendungen im Bereich Datacom, Telecom, Industry, Medical und Defence. tde bietet mit einer eigenen Service-Abteilung Planungs- und Installationsleistungen aus einer Hand und unterstützt den „European Code of Conduct“ für Energieeffizienz in Rechenzentren. </w:t>
      </w:r>
      <w:r w:rsidR="004576F2">
        <w:rPr>
          <w:sz w:val="18"/>
          <w:szCs w:val="16"/>
        </w:rPr>
        <w:t xml:space="preserve">Mehr unter: </w:t>
      </w:r>
      <w:hyperlink r:id="rId11" w:history="1">
        <w:r w:rsidR="004576F2">
          <w:rPr>
            <w:rStyle w:val="Hyperlink"/>
            <w:rFonts w:cs="Calibri"/>
            <w:sz w:val="18"/>
          </w:rPr>
          <w:t>www.tde.de</w:t>
        </w:r>
      </w:hyperlink>
      <w:r w:rsidR="004576F2">
        <w:rPr>
          <w:rStyle w:val="Hyperlink"/>
          <w:rFonts w:cs="Calibri"/>
          <w:sz w:val="18"/>
        </w:rPr>
        <w:t xml:space="preserve"> </w:t>
      </w:r>
      <w:r w:rsidR="004576F2" w:rsidRPr="008379C6">
        <w:rPr>
          <w:sz w:val="18"/>
          <w:szCs w:val="16"/>
        </w:rPr>
        <w:t xml:space="preserve">sowie auf </w:t>
      </w:r>
      <w:hyperlink r:id="rId12" w:history="1">
        <w:r w:rsidR="004576F2" w:rsidRPr="008379C6">
          <w:rPr>
            <w:rStyle w:val="Hyperlink"/>
            <w:rFonts w:cs="Calibri"/>
            <w:sz w:val="18"/>
            <w:szCs w:val="16"/>
          </w:rPr>
          <w:t>LinkedIn</w:t>
        </w:r>
      </w:hyperlink>
      <w:r w:rsidR="004576F2" w:rsidRPr="008379C6">
        <w:rPr>
          <w:sz w:val="18"/>
          <w:szCs w:val="16"/>
        </w:rPr>
        <w:t xml:space="preserve">, </w:t>
      </w:r>
      <w:hyperlink r:id="rId13" w:history="1">
        <w:r w:rsidR="004576F2" w:rsidRPr="008379C6">
          <w:rPr>
            <w:rStyle w:val="Hyperlink"/>
            <w:rFonts w:cs="Calibri"/>
            <w:sz w:val="18"/>
            <w:szCs w:val="16"/>
          </w:rPr>
          <w:t>Twitter</w:t>
        </w:r>
      </w:hyperlink>
      <w:r w:rsidR="004576F2" w:rsidRPr="008379C6">
        <w:rPr>
          <w:sz w:val="18"/>
          <w:szCs w:val="16"/>
        </w:rPr>
        <w:t xml:space="preserve"> und </w:t>
      </w:r>
      <w:hyperlink r:id="rId14" w:history="1">
        <w:r w:rsidR="004576F2" w:rsidRPr="000C77E9">
          <w:rPr>
            <w:rStyle w:val="Hyperlink"/>
            <w:rFonts w:cs="Calibri"/>
            <w:sz w:val="18"/>
            <w:szCs w:val="16"/>
          </w:rPr>
          <w:t>Xing</w:t>
        </w:r>
      </w:hyperlink>
      <w:r w:rsidR="004576F2" w:rsidRPr="008379C6">
        <w:rPr>
          <w:sz w:val="18"/>
          <w:szCs w:val="16"/>
        </w:rPr>
        <w:t xml:space="preserve">. </w:t>
      </w:r>
      <w:r w:rsidR="004576F2">
        <w:rPr>
          <w:sz w:val="18"/>
          <w:szCs w:val="16"/>
        </w:rPr>
        <w:br/>
      </w:r>
      <w:r w:rsidR="004576F2">
        <w:rPr>
          <w:sz w:val="18"/>
          <w:szCs w:val="16"/>
        </w:rPr>
        <w:br/>
      </w:r>
      <w:r>
        <w:rPr>
          <w:rFonts w:cs="Verdana"/>
          <w:b/>
          <w:bCs/>
          <w:sz w:val="18"/>
          <w:szCs w:val="16"/>
        </w:rPr>
        <w:t>Unternehmenskontakt</w:t>
      </w:r>
      <w:r>
        <w:rPr>
          <w:rFonts w:cs="Verdana"/>
          <w:b/>
          <w:bCs/>
          <w:sz w:val="18"/>
          <w:szCs w:val="16"/>
        </w:rPr>
        <w:br/>
      </w:r>
      <w:r>
        <w:rPr>
          <w:sz w:val="18"/>
          <w:szCs w:val="16"/>
        </w:rPr>
        <w:t>tde – trans data elektronik GmbH, Vertriebsbüro Dortmund</w:t>
      </w:r>
      <w:r>
        <w:rPr>
          <w:sz w:val="18"/>
          <w:szCs w:val="16"/>
        </w:rPr>
        <w:br/>
        <w:t>André Engel, Prinz-Friedrich-Karl-Str. 46, D - 44135 Dortmund</w:t>
      </w:r>
      <w:r>
        <w:rPr>
          <w:sz w:val="18"/>
          <w:szCs w:val="16"/>
        </w:rPr>
        <w:br/>
        <w:t xml:space="preserve">Tel. +49 231 160480, Fax +49 231 160933, </w:t>
      </w:r>
      <w:hyperlink r:id="rId15" w:history="1">
        <w:r>
          <w:rPr>
            <w:rStyle w:val="Hyperlink"/>
            <w:rFonts w:cs="Calibri"/>
            <w:sz w:val="18"/>
          </w:rPr>
          <w:t>info@tde.de</w:t>
        </w:r>
      </w:hyperlink>
      <w:r>
        <w:rPr>
          <w:sz w:val="18"/>
          <w:szCs w:val="16"/>
        </w:rPr>
        <w:t xml:space="preserve">, </w:t>
      </w:r>
      <w:hyperlink r:id="rId16" w:history="1">
        <w:r>
          <w:rPr>
            <w:rStyle w:val="Hyperlink"/>
            <w:rFonts w:cs="Calibri"/>
            <w:sz w:val="18"/>
          </w:rPr>
          <w:t>www.tde.de</w:t>
        </w:r>
      </w:hyperlink>
    </w:p>
    <w:p w14:paraId="35FE543A" w14:textId="77777777" w:rsidR="00E843AA" w:rsidRDefault="00E843AA" w:rsidP="00E843AA">
      <w:pPr>
        <w:spacing w:after="0"/>
        <w:jc w:val="both"/>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78F21846" w14:textId="77777777" w:rsidR="00E843AA" w:rsidRDefault="00E843AA" w:rsidP="00E843AA">
      <w:pPr>
        <w:spacing w:after="0"/>
        <w:jc w:val="both"/>
      </w:pPr>
      <w:r>
        <w:rPr>
          <w:sz w:val="18"/>
          <w:szCs w:val="16"/>
        </w:rPr>
        <w:t xml:space="preserve">Frauke Schütz, Tel: +49 821 4508 7916, </w:t>
      </w:r>
      <w:hyperlink r:id="rId17" w:history="1">
        <w:r>
          <w:rPr>
            <w:rStyle w:val="Hyperlink"/>
            <w:rFonts w:cs="Calibri"/>
            <w:sz w:val="18"/>
          </w:rPr>
          <w:t>fs@epr-online.de</w:t>
        </w:r>
      </w:hyperlink>
    </w:p>
    <w:p w14:paraId="7A9A2226" w14:textId="06E2D231" w:rsidR="00E843AA" w:rsidRDefault="00C05B97" w:rsidP="00E843AA">
      <w:pPr>
        <w:spacing w:after="0"/>
        <w:jc w:val="both"/>
        <w:rPr>
          <w:sz w:val="18"/>
        </w:rPr>
      </w:pPr>
      <w:r>
        <w:rPr>
          <w:sz w:val="18"/>
          <w:szCs w:val="16"/>
        </w:rPr>
        <w:t>Elke Thiergärtner</w:t>
      </w:r>
      <w:r w:rsidR="00E843AA">
        <w:rPr>
          <w:sz w:val="18"/>
          <w:szCs w:val="16"/>
        </w:rPr>
        <w:t>, Tel: +49 821 4508 791</w:t>
      </w:r>
      <w:r>
        <w:rPr>
          <w:sz w:val="18"/>
          <w:szCs w:val="16"/>
        </w:rPr>
        <w:t>2</w:t>
      </w:r>
      <w:r w:rsidR="00E843AA">
        <w:rPr>
          <w:sz w:val="18"/>
          <w:szCs w:val="16"/>
        </w:rPr>
        <w:t>,</w:t>
      </w:r>
      <w:r w:rsidR="00E843AA">
        <w:rPr>
          <w:b/>
          <w:sz w:val="18"/>
          <w:szCs w:val="16"/>
        </w:rPr>
        <w:t xml:space="preserve"> </w:t>
      </w:r>
      <w:hyperlink r:id="rId18" w:history="1">
        <w:r w:rsidR="00690649" w:rsidRPr="009663BF">
          <w:rPr>
            <w:rStyle w:val="Hyperlink"/>
            <w:rFonts w:cs="Calibri"/>
            <w:sz w:val="18"/>
          </w:rPr>
          <w:t>et@epr-online.de</w:t>
        </w:r>
      </w:hyperlink>
    </w:p>
    <w:p w14:paraId="571108C1" w14:textId="1C9D2D74" w:rsidR="00E843AA" w:rsidRPr="00E843AA" w:rsidRDefault="00690649" w:rsidP="001A7106">
      <w:pPr>
        <w:spacing w:after="0"/>
        <w:jc w:val="both"/>
        <w:rPr>
          <w:rFonts w:cs="Verdana"/>
          <w:sz w:val="18"/>
          <w:szCs w:val="16"/>
        </w:rPr>
      </w:pPr>
      <w:hyperlink r:id="rId19" w:history="1">
        <w:r w:rsidRPr="009663BF">
          <w:rPr>
            <w:rStyle w:val="Hyperlink"/>
            <w:rFonts w:cs="Calibri"/>
            <w:sz w:val="18"/>
          </w:rPr>
          <w:t>www.epr-online.de</w:t>
        </w:r>
      </w:hyperlink>
      <w:r w:rsidR="001A7106" w:rsidRPr="00E843AA">
        <w:rPr>
          <w:rFonts w:cs="Verdana"/>
          <w:sz w:val="18"/>
          <w:szCs w:val="16"/>
        </w:rPr>
        <w:t xml:space="preserve"> </w:t>
      </w:r>
    </w:p>
    <w:sectPr w:rsidR="00E843AA" w:rsidRPr="00E843AA">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0D50" w14:textId="77777777" w:rsidR="00C05B97" w:rsidRDefault="00C05B97" w:rsidP="00986D29">
      <w:pPr>
        <w:spacing w:after="0" w:line="240" w:lineRule="auto"/>
      </w:pPr>
      <w:r>
        <w:separator/>
      </w:r>
    </w:p>
  </w:endnote>
  <w:endnote w:type="continuationSeparator" w:id="0">
    <w:p w14:paraId="5932D6B1" w14:textId="77777777" w:rsidR="00C05B97" w:rsidRDefault="00C05B97" w:rsidP="00986D29">
      <w:pPr>
        <w:spacing w:after="0" w:line="240" w:lineRule="auto"/>
      </w:pPr>
      <w:r>
        <w:continuationSeparator/>
      </w:r>
    </w:p>
  </w:endnote>
  <w:endnote w:type="continuationNotice" w:id="1">
    <w:p w14:paraId="79F8BF4B" w14:textId="77777777" w:rsidR="00630C23" w:rsidRDefault="00630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E704" w14:textId="77777777" w:rsidR="00C05B97" w:rsidRDefault="00C05B97" w:rsidP="00986D29">
      <w:pPr>
        <w:spacing w:after="0" w:line="240" w:lineRule="auto"/>
      </w:pPr>
      <w:r>
        <w:separator/>
      </w:r>
    </w:p>
  </w:footnote>
  <w:footnote w:type="continuationSeparator" w:id="0">
    <w:p w14:paraId="2D927205" w14:textId="77777777" w:rsidR="00C05B97" w:rsidRDefault="00C05B97" w:rsidP="00986D29">
      <w:pPr>
        <w:spacing w:after="0" w:line="240" w:lineRule="auto"/>
      </w:pPr>
      <w:r>
        <w:continuationSeparator/>
      </w:r>
    </w:p>
  </w:footnote>
  <w:footnote w:type="continuationNotice" w:id="1">
    <w:p w14:paraId="5C2BBC36" w14:textId="77777777" w:rsidR="00630C23" w:rsidRDefault="00630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59F0" w14:textId="77777777" w:rsidR="00C05B97" w:rsidRDefault="00C05B97" w:rsidP="00986D29">
    <w:pPr>
      <w:pStyle w:val="Kopfzeile"/>
      <w:jc w:val="right"/>
      <w:rPr>
        <w:rFonts w:ascii="Verdana" w:hAnsi="Verdana" w:cs="Verdana"/>
        <w:color w:val="808080"/>
        <w:sz w:val="20"/>
        <w:szCs w:val="20"/>
      </w:rPr>
    </w:pPr>
    <w:r>
      <w:rPr>
        <w:noProof/>
        <w:lang w:eastAsia="de-DE"/>
      </w:rPr>
      <w:drawing>
        <wp:anchor distT="0" distB="0" distL="114300" distR="114300" simplePos="0" relativeHeight="251658240" behindDoc="1" locked="0" layoutInCell="1" allowOverlap="1" wp14:anchorId="0C8893C5" wp14:editId="6E99951A">
          <wp:simplePos x="0" y="0"/>
          <wp:positionH relativeFrom="column">
            <wp:posOffset>4743450</wp:posOffset>
          </wp:positionH>
          <wp:positionV relativeFrom="paragraph">
            <wp:posOffset>-40640</wp:posOffset>
          </wp:positionV>
          <wp:extent cx="1416050" cy="659130"/>
          <wp:effectExtent l="0" t="0" r="0" b="0"/>
          <wp:wrapTight wrapText="bothSides">
            <wp:wrapPolygon edited="0">
              <wp:start x="0" y="0"/>
              <wp:lineTo x="0" y="21225"/>
              <wp:lineTo x="21213" y="21225"/>
              <wp:lineTo x="21213"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126C7" w14:textId="77777777" w:rsidR="00C05B97" w:rsidRDefault="00C05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9BD"/>
    <w:multiLevelType w:val="hybridMultilevel"/>
    <w:tmpl w:val="FEB63B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94A6A96"/>
    <w:multiLevelType w:val="hybridMultilevel"/>
    <w:tmpl w:val="958A789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74"/>
    <w:rsid w:val="00003B1E"/>
    <w:rsid w:val="00017639"/>
    <w:rsid w:val="000366E5"/>
    <w:rsid w:val="0003707D"/>
    <w:rsid w:val="00065834"/>
    <w:rsid w:val="0006608B"/>
    <w:rsid w:val="0007097A"/>
    <w:rsid w:val="00073D55"/>
    <w:rsid w:val="000C10F8"/>
    <w:rsid w:val="000C6D28"/>
    <w:rsid w:val="000C77E9"/>
    <w:rsid w:val="000D16EF"/>
    <w:rsid w:val="000D32DF"/>
    <w:rsid w:val="000D74AC"/>
    <w:rsid w:val="000E6175"/>
    <w:rsid w:val="000E6DE9"/>
    <w:rsid w:val="000F5782"/>
    <w:rsid w:val="00110F46"/>
    <w:rsid w:val="00146E07"/>
    <w:rsid w:val="00147BEF"/>
    <w:rsid w:val="00170E62"/>
    <w:rsid w:val="00193369"/>
    <w:rsid w:val="001A10B1"/>
    <w:rsid w:val="001A7106"/>
    <w:rsid w:val="001B360D"/>
    <w:rsid w:val="001B3B75"/>
    <w:rsid w:val="001B5BD4"/>
    <w:rsid w:val="001D4F8C"/>
    <w:rsid w:val="002172D4"/>
    <w:rsid w:val="0021799B"/>
    <w:rsid w:val="00227D9A"/>
    <w:rsid w:val="00243617"/>
    <w:rsid w:val="00272182"/>
    <w:rsid w:val="00276E7B"/>
    <w:rsid w:val="00283F45"/>
    <w:rsid w:val="00285498"/>
    <w:rsid w:val="00285FE7"/>
    <w:rsid w:val="002A2413"/>
    <w:rsid w:val="002A7D64"/>
    <w:rsid w:val="002B030F"/>
    <w:rsid w:val="002B2E40"/>
    <w:rsid w:val="002C7B0F"/>
    <w:rsid w:val="002E63EC"/>
    <w:rsid w:val="00303A9C"/>
    <w:rsid w:val="00307055"/>
    <w:rsid w:val="003102BD"/>
    <w:rsid w:val="00346ACB"/>
    <w:rsid w:val="0036650E"/>
    <w:rsid w:val="00373792"/>
    <w:rsid w:val="003749B0"/>
    <w:rsid w:val="003B28E2"/>
    <w:rsid w:val="003C62E4"/>
    <w:rsid w:val="003E5B19"/>
    <w:rsid w:val="0044094C"/>
    <w:rsid w:val="00446425"/>
    <w:rsid w:val="004576F2"/>
    <w:rsid w:val="0047393B"/>
    <w:rsid w:val="00475493"/>
    <w:rsid w:val="004758D5"/>
    <w:rsid w:val="00486EC0"/>
    <w:rsid w:val="004B7BC3"/>
    <w:rsid w:val="004E0466"/>
    <w:rsid w:val="004E04D5"/>
    <w:rsid w:val="004F00FA"/>
    <w:rsid w:val="00522B1D"/>
    <w:rsid w:val="0052778C"/>
    <w:rsid w:val="00532BA2"/>
    <w:rsid w:val="00536E74"/>
    <w:rsid w:val="005444ED"/>
    <w:rsid w:val="0057279E"/>
    <w:rsid w:val="0058282F"/>
    <w:rsid w:val="00590066"/>
    <w:rsid w:val="0059088B"/>
    <w:rsid w:val="005B736C"/>
    <w:rsid w:val="005D0245"/>
    <w:rsid w:val="005D67AA"/>
    <w:rsid w:val="005F317E"/>
    <w:rsid w:val="005F69BF"/>
    <w:rsid w:val="00611FAB"/>
    <w:rsid w:val="00613C70"/>
    <w:rsid w:val="006239A5"/>
    <w:rsid w:val="00627916"/>
    <w:rsid w:val="00630C23"/>
    <w:rsid w:val="006377E0"/>
    <w:rsid w:val="00644DEF"/>
    <w:rsid w:val="0068669B"/>
    <w:rsid w:val="00690649"/>
    <w:rsid w:val="006C3013"/>
    <w:rsid w:val="0071686D"/>
    <w:rsid w:val="00724AAE"/>
    <w:rsid w:val="00744B5B"/>
    <w:rsid w:val="00745F7A"/>
    <w:rsid w:val="00765B3F"/>
    <w:rsid w:val="007754D2"/>
    <w:rsid w:val="007808F7"/>
    <w:rsid w:val="0079050D"/>
    <w:rsid w:val="007C0869"/>
    <w:rsid w:val="007D1D3F"/>
    <w:rsid w:val="007D4313"/>
    <w:rsid w:val="00811C20"/>
    <w:rsid w:val="00823E78"/>
    <w:rsid w:val="008379C6"/>
    <w:rsid w:val="00865A61"/>
    <w:rsid w:val="00867799"/>
    <w:rsid w:val="00877387"/>
    <w:rsid w:val="008A35D7"/>
    <w:rsid w:val="008B7D76"/>
    <w:rsid w:val="008C2AD6"/>
    <w:rsid w:val="008F2474"/>
    <w:rsid w:val="00911529"/>
    <w:rsid w:val="00925BD5"/>
    <w:rsid w:val="00932FA1"/>
    <w:rsid w:val="0095013B"/>
    <w:rsid w:val="00954CD5"/>
    <w:rsid w:val="00976E76"/>
    <w:rsid w:val="009771D9"/>
    <w:rsid w:val="0098351F"/>
    <w:rsid w:val="00986D29"/>
    <w:rsid w:val="00990CD4"/>
    <w:rsid w:val="009912D6"/>
    <w:rsid w:val="00992CC5"/>
    <w:rsid w:val="009A203B"/>
    <w:rsid w:val="009C546C"/>
    <w:rsid w:val="00A11729"/>
    <w:rsid w:val="00A33919"/>
    <w:rsid w:val="00A4074E"/>
    <w:rsid w:val="00A41EE5"/>
    <w:rsid w:val="00A52CF4"/>
    <w:rsid w:val="00A5517D"/>
    <w:rsid w:val="00A7141C"/>
    <w:rsid w:val="00AD1673"/>
    <w:rsid w:val="00AE037A"/>
    <w:rsid w:val="00B05ADD"/>
    <w:rsid w:val="00B12347"/>
    <w:rsid w:val="00B54663"/>
    <w:rsid w:val="00B61EBB"/>
    <w:rsid w:val="00B82D02"/>
    <w:rsid w:val="00B96DC9"/>
    <w:rsid w:val="00BB466E"/>
    <w:rsid w:val="00BC210C"/>
    <w:rsid w:val="00BC5BC1"/>
    <w:rsid w:val="00BD40C9"/>
    <w:rsid w:val="00BF7990"/>
    <w:rsid w:val="00C05B97"/>
    <w:rsid w:val="00C07FF7"/>
    <w:rsid w:val="00C43B9F"/>
    <w:rsid w:val="00CA737A"/>
    <w:rsid w:val="00CD0D9A"/>
    <w:rsid w:val="00CD1D79"/>
    <w:rsid w:val="00CF0287"/>
    <w:rsid w:val="00D03B80"/>
    <w:rsid w:val="00D14992"/>
    <w:rsid w:val="00D34764"/>
    <w:rsid w:val="00D44F6F"/>
    <w:rsid w:val="00D47B2C"/>
    <w:rsid w:val="00D47B87"/>
    <w:rsid w:val="00D86759"/>
    <w:rsid w:val="00D869AD"/>
    <w:rsid w:val="00DC2456"/>
    <w:rsid w:val="00DC3649"/>
    <w:rsid w:val="00DC3CE1"/>
    <w:rsid w:val="00DC5697"/>
    <w:rsid w:val="00DD424E"/>
    <w:rsid w:val="00DE7D51"/>
    <w:rsid w:val="00DF47EB"/>
    <w:rsid w:val="00DF4A85"/>
    <w:rsid w:val="00E335AF"/>
    <w:rsid w:val="00E80CEB"/>
    <w:rsid w:val="00E82093"/>
    <w:rsid w:val="00E843AA"/>
    <w:rsid w:val="00E940ED"/>
    <w:rsid w:val="00EA43B2"/>
    <w:rsid w:val="00EA7665"/>
    <w:rsid w:val="00ED0C8F"/>
    <w:rsid w:val="00EE0C70"/>
    <w:rsid w:val="00F06580"/>
    <w:rsid w:val="00F416CA"/>
    <w:rsid w:val="00F51792"/>
    <w:rsid w:val="00F52541"/>
    <w:rsid w:val="00F82521"/>
    <w:rsid w:val="00F97BA7"/>
    <w:rsid w:val="00FA5864"/>
    <w:rsid w:val="00FC0AC7"/>
    <w:rsid w:val="00FF5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A7F079"/>
  <w14:defaultImageDpi w14:val="0"/>
  <w15:docId w15:val="{B5F98CF7-9EB9-45E4-879A-1F880116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2474"/>
    <w:pPr>
      <w:spacing w:after="200" w:line="276"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2474"/>
    <w:pPr>
      <w:spacing w:after="0" w:line="240" w:lineRule="auto"/>
      <w:ind w:left="720"/>
    </w:pPr>
  </w:style>
  <w:style w:type="character" w:styleId="Kommentarzeichen">
    <w:name w:val="annotation reference"/>
    <w:basedOn w:val="Absatz-Standardschriftart"/>
    <w:uiPriority w:val="99"/>
    <w:semiHidden/>
    <w:unhideWhenUsed/>
    <w:rsid w:val="00644DEF"/>
    <w:rPr>
      <w:rFonts w:cs="Times New Roman"/>
      <w:sz w:val="16"/>
      <w:szCs w:val="16"/>
    </w:rPr>
  </w:style>
  <w:style w:type="paragraph" w:styleId="Kommentartext">
    <w:name w:val="annotation text"/>
    <w:basedOn w:val="Standard"/>
    <w:link w:val="KommentartextZchn"/>
    <w:uiPriority w:val="99"/>
    <w:unhideWhenUsed/>
    <w:rsid w:val="00644DEF"/>
    <w:pPr>
      <w:spacing w:line="240" w:lineRule="auto"/>
    </w:pPr>
    <w:rPr>
      <w:sz w:val="20"/>
      <w:szCs w:val="20"/>
    </w:rPr>
  </w:style>
  <w:style w:type="character" w:customStyle="1" w:styleId="KommentartextZchn">
    <w:name w:val="Kommentartext Zchn"/>
    <w:basedOn w:val="Absatz-Standardschriftart"/>
    <w:link w:val="Kommentartext"/>
    <w:uiPriority w:val="99"/>
    <w:locked/>
    <w:rsid w:val="00644D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44DEF"/>
    <w:rPr>
      <w:b/>
      <w:bCs/>
    </w:rPr>
  </w:style>
  <w:style w:type="character" w:customStyle="1" w:styleId="KommentarthemaZchn">
    <w:name w:val="Kommentarthema Zchn"/>
    <w:basedOn w:val="KommentartextZchn"/>
    <w:link w:val="Kommentarthema"/>
    <w:uiPriority w:val="99"/>
    <w:semiHidden/>
    <w:locked/>
    <w:rsid w:val="00644DEF"/>
    <w:rPr>
      <w:rFonts w:ascii="Calibri" w:hAnsi="Calibri" w:cs="Calibri"/>
      <w:b/>
      <w:bCs/>
      <w:sz w:val="20"/>
      <w:szCs w:val="20"/>
    </w:rPr>
  </w:style>
  <w:style w:type="paragraph" w:styleId="Sprechblasentext">
    <w:name w:val="Balloon Text"/>
    <w:basedOn w:val="Standard"/>
    <w:link w:val="SprechblasentextZchn"/>
    <w:uiPriority w:val="99"/>
    <w:semiHidden/>
    <w:unhideWhenUsed/>
    <w:rsid w:val="00644D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644DEF"/>
    <w:rPr>
      <w:rFonts w:ascii="Segoe UI" w:hAnsi="Segoe UI" w:cs="Segoe UI"/>
      <w:sz w:val="18"/>
      <w:szCs w:val="18"/>
    </w:rPr>
  </w:style>
  <w:style w:type="character" w:styleId="Hyperlink">
    <w:name w:val="Hyperlink"/>
    <w:basedOn w:val="Absatz-Standardschriftart"/>
    <w:uiPriority w:val="99"/>
    <w:unhideWhenUsed/>
    <w:rsid w:val="00992CC5"/>
    <w:rPr>
      <w:rFonts w:cs="Times New Roman"/>
      <w:color w:val="0563C1" w:themeColor="hyperlink"/>
      <w:u w:val="single"/>
    </w:rPr>
  </w:style>
  <w:style w:type="character" w:customStyle="1" w:styleId="NichtaufgelsteErwhnung1">
    <w:name w:val="Nicht aufgelöste Erwähnung1"/>
    <w:basedOn w:val="Absatz-Standardschriftart"/>
    <w:uiPriority w:val="99"/>
    <w:semiHidden/>
    <w:unhideWhenUsed/>
    <w:rsid w:val="00992CC5"/>
    <w:rPr>
      <w:rFonts w:cs="Times New Roman"/>
      <w:color w:val="605E5C"/>
      <w:shd w:val="clear" w:color="auto" w:fill="E1DFDD"/>
    </w:rPr>
  </w:style>
  <w:style w:type="paragraph" w:styleId="Kopfzeile">
    <w:name w:val="header"/>
    <w:basedOn w:val="Standard"/>
    <w:link w:val="KopfzeileZchn"/>
    <w:uiPriority w:val="99"/>
    <w:unhideWhenUsed/>
    <w:rsid w:val="00986D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86D29"/>
    <w:rPr>
      <w:rFonts w:ascii="Calibri" w:hAnsi="Calibri" w:cs="Calibri"/>
    </w:rPr>
  </w:style>
  <w:style w:type="paragraph" w:styleId="Fuzeile">
    <w:name w:val="footer"/>
    <w:basedOn w:val="Standard"/>
    <w:link w:val="FuzeileZchn"/>
    <w:uiPriority w:val="99"/>
    <w:unhideWhenUsed/>
    <w:rsid w:val="00986D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86D29"/>
    <w:rPr>
      <w:rFonts w:ascii="Calibri" w:hAnsi="Calibri" w:cs="Calibri"/>
    </w:rPr>
  </w:style>
  <w:style w:type="character" w:styleId="Fett">
    <w:name w:val="Strong"/>
    <w:basedOn w:val="Absatz-Standardschriftart"/>
    <w:uiPriority w:val="22"/>
    <w:qFormat/>
    <w:rsid w:val="00865A61"/>
    <w:rPr>
      <w:rFonts w:cs="Times New Roman"/>
      <w:b/>
      <w:bCs/>
    </w:rPr>
  </w:style>
  <w:style w:type="character" w:styleId="BesuchterLink">
    <w:name w:val="FollowedHyperlink"/>
    <w:basedOn w:val="Absatz-Standardschriftart"/>
    <w:uiPriority w:val="99"/>
    <w:semiHidden/>
    <w:unhideWhenUsed/>
    <w:rsid w:val="00865A61"/>
    <w:rPr>
      <w:rFonts w:cs="Times New Roman"/>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14992"/>
    <w:rPr>
      <w:rFonts w:cs="Times New Roman"/>
      <w:color w:val="605E5C"/>
      <w:shd w:val="clear" w:color="auto" w:fill="E1DFDD"/>
    </w:rPr>
  </w:style>
  <w:style w:type="paragraph" w:styleId="StandardWeb">
    <w:name w:val="Normal (Web)"/>
    <w:basedOn w:val="Standard"/>
    <w:uiPriority w:val="99"/>
    <w:unhideWhenUsed/>
    <w:rsid w:val="00627916"/>
    <w:pPr>
      <w:spacing w:before="100" w:beforeAutospacing="1" w:after="100" w:afterAutospacing="1" w:line="240" w:lineRule="auto"/>
    </w:pPr>
    <w:rPr>
      <w:rFonts w:ascii="Times New Roman" w:hAnsi="Times New Roman" w:cs="Times New Roman"/>
      <w:sz w:val="24"/>
      <w:szCs w:val="24"/>
      <w:lang w:eastAsia="de-DE"/>
    </w:rPr>
  </w:style>
  <w:style w:type="paragraph" w:styleId="berarbeitung">
    <w:name w:val="Revision"/>
    <w:hidden/>
    <w:uiPriority w:val="99"/>
    <w:semiHidden/>
    <w:rsid w:val="005B736C"/>
    <w:pPr>
      <w:spacing w:after="0" w:line="240" w:lineRule="auto"/>
    </w:pPr>
    <w:rPr>
      <w:rFonts w:ascii="Calibri" w:hAnsi="Calibri" w:cs="Calibri"/>
    </w:rPr>
  </w:style>
  <w:style w:type="character" w:styleId="NichtaufgelsteErwhnung">
    <w:name w:val="Unresolved Mention"/>
    <w:basedOn w:val="Absatz-Standardschriftart"/>
    <w:uiPriority w:val="99"/>
    <w:semiHidden/>
    <w:unhideWhenUsed/>
    <w:rsid w:val="00690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3517">
      <w:bodyDiv w:val="1"/>
      <w:marLeft w:val="0"/>
      <w:marRight w:val="0"/>
      <w:marTop w:val="0"/>
      <w:marBottom w:val="0"/>
      <w:divBdr>
        <w:top w:val="none" w:sz="0" w:space="0" w:color="auto"/>
        <w:left w:val="none" w:sz="0" w:space="0" w:color="auto"/>
        <w:bottom w:val="none" w:sz="0" w:space="0" w:color="auto"/>
        <w:right w:val="none" w:sz="0" w:space="0" w:color="auto"/>
      </w:divBdr>
    </w:div>
    <w:div w:id="1602185248">
      <w:marLeft w:val="0"/>
      <w:marRight w:val="0"/>
      <w:marTop w:val="0"/>
      <w:marBottom w:val="0"/>
      <w:divBdr>
        <w:top w:val="none" w:sz="0" w:space="0" w:color="auto"/>
        <w:left w:val="none" w:sz="0" w:space="0" w:color="auto"/>
        <w:bottom w:val="none" w:sz="0" w:space="0" w:color="auto"/>
        <w:right w:val="none" w:sz="0" w:space="0" w:color="auto"/>
      </w:divBdr>
    </w:div>
    <w:div w:id="1602185249">
      <w:marLeft w:val="0"/>
      <w:marRight w:val="0"/>
      <w:marTop w:val="0"/>
      <w:marBottom w:val="0"/>
      <w:divBdr>
        <w:top w:val="none" w:sz="0" w:space="0" w:color="auto"/>
        <w:left w:val="none" w:sz="0" w:space="0" w:color="auto"/>
        <w:bottom w:val="none" w:sz="0" w:space="0" w:color="auto"/>
        <w:right w:val="none" w:sz="0" w:space="0" w:color="auto"/>
      </w:divBdr>
    </w:div>
    <w:div w:id="1602185250">
      <w:marLeft w:val="0"/>
      <w:marRight w:val="0"/>
      <w:marTop w:val="0"/>
      <w:marBottom w:val="0"/>
      <w:divBdr>
        <w:top w:val="none" w:sz="0" w:space="0" w:color="auto"/>
        <w:left w:val="none" w:sz="0" w:space="0" w:color="auto"/>
        <w:bottom w:val="none" w:sz="0" w:space="0" w:color="auto"/>
        <w:right w:val="none" w:sz="0" w:space="0" w:color="auto"/>
      </w:divBdr>
    </w:div>
    <w:div w:id="1602185251">
      <w:marLeft w:val="0"/>
      <w:marRight w:val="0"/>
      <w:marTop w:val="0"/>
      <w:marBottom w:val="0"/>
      <w:divBdr>
        <w:top w:val="none" w:sz="0" w:space="0" w:color="auto"/>
        <w:left w:val="none" w:sz="0" w:space="0" w:color="auto"/>
        <w:bottom w:val="none" w:sz="0" w:space="0" w:color="auto"/>
        <w:right w:val="none" w:sz="0" w:space="0" w:color="auto"/>
      </w:divBdr>
    </w:div>
    <w:div w:id="16021852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tdeConnect" TargetMode="External"/><Relationship Id="rId18" Type="http://schemas.openxmlformats.org/officeDocument/2006/relationships/hyperlink" Target="mailto:et@epr-online.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inkedin.com/company/tde-trans-data-elektronik-gmbh/" TargetMode="External"/><Relationship Id="rId17" Type="http://schemas.openxmlformats.org/officeDocument/2006/relationships/hyperlink" Target="mailto:fs@epr-online.de" TargetMode="External"/><Relationship Id="rId2" Type="http://schemas.openxmlformats.org/officeDocument/2006/relationships/customXml" Target="../customXml/item2.xml"/><Relationship Id="rId16" Type="http://schemas.openxmlformats.org/officeDocument/2006/relationships/hyperlink" Target="http://www.td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de.de/" TargetMode="External"/><Relationship Id="rId5" Type="http://schemas.openxmlformats.org/officeDocument/2006/relationships/styles" Target="styles.xml"/><Relationship Id="rId15" Type="http://schemas.openxmlformats.org/officeDocument/2006/relationships/hyperlink" Target="mailto:info@tde.de" TargetMode="External"/><Relationship Id="rId10" Type="http://schemas.openxmlformats.org/officeDocument/2006/relationships/hyperlink" Target="https://mdb.tde.de/download.php?datei_id=9527&amp;inline" TargetMode="External"/><Relationship Id="rId19" Type="http://schemas.openxmlformats.org/officeDocument/2006/relationships/hyperlink" Target="http://www.epr-onlin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xing.com/companies/tde-transdataelektronikgmbh/upd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0" ma:contentTypeDescription="Ein neues Dokument erstellen." ma:contentTypeScope="" ma:versionID="6a2dea4a84db8c6414018ddd3c2c1ebf">
  <xsd:schema xmlns:xsd="http://www.w3.org/2001/XMLSchema" xmlns:xs="http://www.w3.org/2001/XMLSchema" xmlns:p="http://schemas.microsoft.com/office/2006/metadata/properties" xmlns:ns2="767845a4-9e8d-47dc-a6ae-60a9828df89d" targetNamespace="http://schemas.microsoft.com/office/2006/metadata/properties" ma:root="true" ma:fieldsID="27acee257944cb21926a0dc47b2b02b0" ns2:_="">
    <xsd:import namespace="767845a4-9e8d-47dc-a6ae-60a9828df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36820-65BF-4AF6-8CD0-9C058377E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160DCB-159C-4FDA-A0E6-6DE97D65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75378-6D4E-4BB2-BC4E-59B1044A7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Frauke Schütz | epr - elsaesser public relations</cp:lastModifiedBy>
  <cp:revision>3</cp:revision>
  <dcterms:created xsi:type="dcterms:W3CDTF">2021-04-22T06:27:00Z</dcterms:created>
  <dcterms:modified xsi:type="dcterms:W3CDTF">2021-04-22T06:28:00Z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0x010100A8CB5802A259FD48BF3EBA8B6A091433</vt:lpwstr>
  </property>
</Properties>
</file>