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D6F6" w14:textId="77777777" w:rsidR="00E75A06" w:rsidRDefault="00E75A06" w:rsidP="00E75A06">
      <w:pPr>
        <w:pStyle w:val="Doktitel"/>
      </w:pPr>
      <w:r>
        <w:t>Pressemitteilung</w:t>
      </w:r>
      <w:r w:rsidR="00F93F21">
        <w:br/>
      </w:r>
    </w:p>
    <w:p w14:paraId="753C8B3B" w14:textId="77777777" w:rsidR="00F93F21" w:rsidRPr="00C04799" w:rsidRDefault="0044190D" w:rsidP="00E75A06">
      <w:pPr>
        <w:pStyle w:val="Inhalt"/>
        <w:tabs>
          <w:tab w:val="left" w:pos="4230"/>
        </w:tabs>
        <w:rPr>
          <w:b w:val="0"/>
          <w:bCs/>
          <w:sz w:val="20"/>
          <w:u w:val="single"/>
        </w:rPr>
      </w:pPr>
      <w:r w:rsidRPr="00C04799">
        <w:rPr>
          <w:b w:val="0"/>
          <w:bCs/>
          <w:sz w:val="20"/>
          <w:u w:val="single"/>
        </w:rPr>
        <w:t xml:space="preserve">Bilanzzahlen </w:t>
      </w:r>
      <w:r w:rsidR="000B7667" w:rsidRPr="00C04799">
        <w:rPr>
          <w:b w:val="0"/>
          <w:bCs/>
          <w:sz w:val="20"/>
          <w:u w:val="single"/>
        </w:rPr>
        <w:t>2020</w:t>
      </w:r>
    </w:p>
    <w:p w14:paraId="2EB65DFB" w14:textId="77777777" w:rsidR="0044190D" w:rsidRDefault="000B7667" w:rsidP="0044190D">
      <w:pPr>
        <w:spacing w:line="240" w:lineRule="auto"/>
        <w:rPr>
          <w:rFonts w:eastAsia="MS Mincho"/>
          <w:b/>
          <w:bCs/>
        </w:rPr>
      </w:pPr>
      <w:r w:rsidRPr="00C04799">
        <w:rPr>
          <w:rFonts w:eastAsia="MS Mincho"/>
          <w:b/>
          <w:bCs/>
        </w:rPr>
        <w:t>Erfolgreiches Geschäftsjahr 2020</w:t>
      </w:r>
      <w:r w:rsidR="0044190D" w:rsidRPr="00C04799">
        <w:rPr>
          <w:rFonts w:eastAsia="MS Mincho"/>
          <w:b/>
          <w:bCs/>
        </w:rPr>
        <w:t xml:space="preserve"> für die Kreissparkasse Augsburg</w:t>
      </w:r>
    </w:p>
    <w:p w14:paraId="2540304A" w14:textId="77777777" w:rsidR="0044190D" w:rsidRPr="005114C7" w:rsidRDefault="00BF322C" w:rsidP="0044190D">
      <w:pPr>
        <w:rPr>
          <w:rFonts w:eastAsia="MS Mincho"/>
        </w:rPr>
      </w:pPr>
      <w:r w:rsidRPr="005114C7">
        <w:rPr>
          <w:rFonts w:eastAsia="MS Mincho"/>
        </w:rPr>
        <w:t>Augsburg</w:t>
      </w:r>
      <w:r w:rsidR="00E75A06" w:rsidRPr="005114C7">
        <w:rPr>
          <w:rFonts w:eastAsia="MS Mincho"/>
        </w:rPr>
        <w:t xml:space="preserve">, </w:t>
      </w:r>
      <w:r w:rsidR="001649DB">
        <w:rPr>
          <w:rFonts w:eastAsia="MS Mincho"/>
        </w:rPr>
        <w:t>03.03.</w:t>
      </w:r>
      <w:r w:rsidR="00520089">
        <w:rPr>
          <w:rFonts w:eastAsia="MS Mincho"/>
        </w:rPr>
        <w:t>2021</w:t>
      </w:r>
    </w:p>
    <w:p w14:paraId="2A895303" w14:textId="7F396BB2" w:rsidR="00E3601B" w:rsidRPr="00CD2321" w:rsidRDefault="00F549B3" w:rsidP="00493AB1">
      <w:pPr>
        <w:rPr>
          <w:rFonts w:eastAsia="MS Mincho"/>
          <w:b/>
          <w:bCs/>
        </w:rPr>
      </w:pPr>
      <w:r w:rsidRPr="003F7AD7">
        <w:rPr>
          <w:rFonts w:eastAsia="MS Mincho"/>
          <w:b/>
          <w:bCs/>
        </w:rPr>
        <w:t>Auch für die Kreissparkasse Augsburg stand d</w:t>
      </w:r>
      <w:r w:rsidR="00FA6532" w:rsidRPr="003F7AD7">
        <w:rPr>
          <w:rFonts w:eastAsia="MS Mincho"/>
          <w:b/>
          <w:bCs/>
        </w:rPr>
        <w:t xml:space="preserve">as Jahr 2020 im Zeichen der Corona-Pandemie. </w:t>
      </w:r>
      <w:r w:rsidRPr="003F7AD7">
        <w:rPr>
          <w:rFonts w:eastAsia="MS Mincho"/>
          <w:b/>
          <w:bCs/>
        </w:rPr>
        <w:t xml:space="preserve">Dennoch kann </w:t>
      </w:r>
      <w:r w:rsidR="00C84522" w:rsidRPr="003F7AD7">
        <w:rPr>
          <w:rFonts w:eastAsia="MS Mincho"/>
          <w:b/>
          <w:bCs/>
        </w:rPr>
        <w:t>das Kreditinstitut</w:t>
      </w:r>
      <w:r w:rsidRPr="003F7AD7">
        <w:rPr>
          <w:rFonts w:eastAsia="MS Mincho"/>
          <w:b/>
          <w:bCs/>
        </w:rPr>
        <w:t xml:space="preserve"> trotz </w:t>
      </w:r>
      <w:r w:rsidR="00EC4210" w:rsidRPr="003F7AD7">
        <w:rPr>
          <w:rFonts w:eastAsia="MS Mincho"/>
          <w:b/>
          <w:bCs/>
        </w:rPr>
        <w:t xml:space="preserve">vieler </w:t>
      </w:r>
      <w:r w:rsidRPr="003F7AD7">
        <w:rPr>
          <w:rFonts w:eastAsia="MS Mincho"/>
          <w:b/>
          <w:bCs/>
        </w:rPr>
        <w:t>Herausforderungen</w:t>
      </w:r>
      <w:r w:rsidR="00F9224D" w:rsidRPr="003F7AD7">
        <w:rPr>
          <w:rFonts w:eastAsia="MS Mincho"/>
          <w:b/>
          <w:bCs/>
        </w:rPr>
        <w:t xml:space="preserve"> auf ein erfolgreiches Geschäftsjahr zurückblicken. </w:t>
      </w:r>
      <w:r w:rsidR="000E5377" w:rsidRPr="003F7AD7">
        <w:rPr>
          <w:rFonts w:eastAsia="MS Mincho"/>
          <w:b/>
          <w:bCs/>
        </w:rPr>
        <w:t>Die konsequente Ausrichtung an den Bedürfnissen der Kunden sowie eine vertrauensvolle Partnerschaft in Finanzfragen ermöglichten dieses positive Ergebnis.</w:t>
      </w:r>
      <w:r w:rsidR="000E5377">
        <w:rPr>
          <w:rFonts w:eastAsia="MS Mincho"/>
          <w:b/>
          <w:bCs/>
        </w:rPr>
        <w:t xml:space="preserve"> </w:t>
      </w:r>
    </w:p>
    <w:p w14:paraId="7142628B" w14:textId="77777777" w:rsidR="00EF0175" w:rsidRPr="003F7AD7" w:rsidRDefault="00F549B3" w:rsidP="00493AB1">
      <w:pPr>
        <w:rPr>
          <w:rFonts w:eastAsia="MS Mincho"/>
        </w:rPr>
      </w:pPr>
      <w:r>
        <w:rPr>
          <w:rFonts w:eastAsia="MS Mincho"/>
        </w:rPr>
        <w:t>Der Lockdown traf auch im Landkreis Augsburg zahlreiche Unternehmen und Privatpersonen hart</w:t>
      </w:r>
      <w:r w:rsidR="00931981">
        <w:rPr>
          <w:rFonts w:eastAsia="MS Mincho"/>
        </w:rPr>
        <w:t xml:space="preserve">. </w:t>
      </w:r>
      <w:r w:rsidR="00EC4210">
        <w:rPr>
          <w:rFonts w:eastAsia="MS Mincho"/>
        </w:rPr>
        <w:t>D</w:t>
      </w:r>
      <w:r w:rsidR="00931981">
        <w:rPr>
          <w:rFonts w:eastAsia="MS Mincho"/>
        </w:rPr>
        <w:t xml:space="preserve">ie Kreissparkasse </w:t>
      </w:r>
      <w:r w:rsidR="00EC4210">
        <w:rPr>
          <w:rFonts w:eastAsia="MS Mincho"/>
        </w:rPr>
        <w:t xml:space="preserve">konnte als </w:t>
      </w:r>
      <w:r w:rsidR="00931981">
        <w:rPr>
          <w:rFonts w:eastAsia="MS Mincho"/>
        </w:rPr>
        <w:t>verlässlicher Ansprechpartner</w:t>
      </w:r>
      <w:r w:rsidR="00903803">
        <w:rPr>
          <w:rFonts w:eastAsia="MS Mincho"/>
        </w:rPr>
        <w:t xml:space="preserve"> mit </w:t>
      </w:r>
      <w:r w:rsidR="00C84522">
        <w:rPr>
          <w:rFonts w:eastAsia="MS Mincho"/>
        </w:rPr>
        <w:t xml:space="preserve">Zins- und </w:t>
      </w:r>
      <w:r w:rsidR="00903803">
        <w:rPr>
          <w:rFonts w:eastAsia="MS Mincho"/>
        </w:rPr>
        <w:t xml:space="preserve">Tilgungsaussetzungen </w:t>
      </w:r>
      <w:r w:rsidR="00B8006A">
        <w:rPr>
          <w:rFonts w:eastAsia="MS Mincho"/>
        </w:rPr>
        <w:t>sowie</w:t>
      </w:r>
      <w:r w:rsidR="00903803">
        <w:rPr>
          <w:rFonts w:eastAsia="MS Mincho"/>
        </w:rPr>
        <w:t xml:space="preserve"> </w:t>
      </w:r>
      <w:r w:rsidR="00B8006A">
        <w:rPr>
          <w:rFonts w:eastAsia="MS Mincho"/>
        </w:rPr>
        <w:t>Anträgen auf Förderd</w:t>
      </w:r>
      <w:r w:rsidR="00903803">
        <w:rPr>
          <w:rFonts w:eastAsia="MS Mincho"/>
        </w:rPr>
        <w:t>arlehen weiterhelfen.</w:t>
      </w:r>
      <w:r w:rsidR="00FA6532">
        <w:rPr>
          <w:rFonts w:eastAsia="MS Mincho"/>
        </w:rPr>
        <w:t xml:space="preserve"> </w:t>
      </w:r>
      <w:r w:rsidR="00B8006A">
        <w:rPr>
          <w:rFonts w:eastAsia="MS Mincho"/>
        </w:rPr>
        <w:t xml:space="preserve">Die Digitalisierung der Finanzbranche hat sich durch </w:t>
      </w:r>
      <w:r w:rsidR="00FA6532">
        <w:rPr>
          <w:rFonts w:eastAsia="MS Mincho"/>
        </w:rPr>
        <w:t xml:space="preserve">Pandemie und Kontaktbeschränkungen </w:t>
      </w:r>
      <w:r w:rsidR="00B8006A">
        <w:rPr>
          <w:rFonts w:eastAsia="MS Mincho"/>
        </w:rPr>
        <w:t>ebenfalls weiter</w:t>
      </w:r>
      <w:r w:rsidR="00FA6532">
        <w:rPr>
          <w:rFonts w:eastAsia="MS Mincho"/>
        </w:rPr>
        <w:t xml:space="preserve"> beschleunigt. Dazu kommen Herausforderungen wie das weiter historisch niedrige Zinsniveau und </w:t>
      </w:r>
      <w:r w:rsidR="00EC4210">
        <w:rPr>
          <w:rFonts w:eastAsia="MS Mincho"/>
        </w:rPr>
        <w:t xml:space="preserve">eine </w:t>
      </w:r>
      <w:r w:rsidR="00FA6532">
        <w:rPr>
          <w:rFonts w:eastAsia="MS Mincho"/>
        </w:rPr>
        <w:t xml:space="preserve">weiter zunehmende Regulierung im Bankensektor. Die Geschäftszahlen 2020 zeigen, dass </w:t>
      </w:r>
      <w:r w:rsidR="00B8006A">
        <w:rPr>
          <w:rFonts w:eastAsia="MS Mincho"/>
        </w:rPr>
        <w:t>die</w:t>
      </w:r>
      <w:r w:rsidR="00FA6532">
        <w:rPr>
          <w:rFonts w:eastAsia="MS Mincho"/>
        </w:rPr>
        <w:t xml:space="preserve"> Kreissparkasse </w:t>
      </w:r>
      <w:r w:rsidR="00B8006A">
        <w:rPr>
          <w:rFonts w:eastAsia="MS Mincho"/>
        </w:rPr>
        <w:t>es geschafft hat</w:t>
      </w:r>
      <w:r w:rsidR="00FA6532">
        <w:rPr>
          <w:rFonts w:eastAsia="MS Mincho"/>
        </w:rPr>
        <w:t xml:space="preserve">, </w:t>
      </w:r>
      <w:r w:rsidR="00B8006A">
        <w:rPr>
          <w:rFonts w:eastAsia="MS Mincho"/>
        </w:rPr>
        <w:t xml:space="preserve">in </w:t>
      </w:r>
      <w:r w:rsidR="00EC4210">
        <w:rPr>
          <w:rFonts w:eastAsia="MS Mincho"/>
        </w:rPr>
        <w:t xml:space="preserve">diesem </w:t>
      </w:r>
      <w:r w:rsidR="00B8006A">
        <w:rPr>
          <w:rFonts w:eastAsia="MS Mincho"/>
        </w:rPr>
        <w:t xml:space="preserve">schwierigen Umfeld </w:t>
      </w:r>
      <w:r w:rsidR="00B27C3E">
        <w:rPr>
          <w:rFonts w:eastAsia="MS Mincho"/>
        </w:rPr>
        <w:t xml:space="preserve">die </w:t>
      </w:r>
      <w:r w:rsidR="00B27C3E" w:rsidRPr="003F7AD7">
        <w:rPr>
          <w:rFonts w:eastAsia="MS Mincho"/>
        </w:rPr>
        <w:t>richtige Richtung einzuschlagen und aktiv zu handeln.</w:t>
      </w:r>
    </w:p>
    <w:p w14:paraId="1ACB6124" w14:textId="77777777" w:rsidR="0044190D" w:rsidRPr="0044190D" w:rsidRDefault="00F9224D" w:rsidP="00493AB1">
      <w:pPr>
        <w:rPr>
          <w:rFonts w:eastAsia="MS Mincho"/>
        </w:rPr>
      </w:pPr>
      <w:r w:rsidRPr="003F7AD7">
        <w:rPr>
          <w:rFonts w:eastAsia="MS Mincho"/>
        </w:rPr>
        <w:t xml:space="preserve">In der langfristigen Betrachtung setzt die Kreissparkasse ihren stabilen Wachstumstrend fort: </w:t>
      </w:r>
      <w:r w:rsidR="0044190D" w:rsidRPr="003F7AD7">
        <w:rPr>
          <w:rFonts w:eastAsia="MS Mincho"/>
        </w:rPr>
        <w:t xml:space="preserve">Die </w:t>
      </w:r>
      <w:r w:rsidR="0044190D" w:rsidRPr="003F7AD7">
        <w:rPr>
          <w:rFonts w:eastAsia="MS Mincho"/>
          <w:b/>
          <w:bCs/>
        </w:rPr>
        <w:t>Bilanzsumme</w:t>
      </w:r>
      <w:r w:rsidR="0044190D" w:rsidRPr="003F7AD7">
        <w:rPr>
          <w:rFonts w:eastAsia="MS Mincho"/>
        </w:rPr>
        <w:t xml:space="preserve"> belief sich zum Jahresende 20</w:t>
      </w:r>
      <w:r w:rsidR="001E3346" w:rsidRPr="003F7AD7">
        <w:rPr>
          <w:rFonts w:eastAsia="MS Mincho"/>
        </w:rPr>
        <w:t>20</w:t>
      </w:r>
      <w:r w:rsidR="0044190D" w:rsidRPr="003F7AD7">
        <w:rPr>
          <w:rFonts w:eastAsia="MS Mincho"/>
        </w:rPr>
        <w:t xml:space="preserve"> auf </w:t>
      </w:r>
      <w:r w:rsidR="001E3346" w:rsidRPr="003F7AD7">
        <w:rPr>
          <w:rFonts w:eastAsia="MS Mincho"/>
        </w:rPr>
        <w:t xml:space="preserve">3.944 </w:t>
      </w:r>
      <w:r w:rsidR="0044190D" w:rsidRPr="003F7AD7">
        <w:rPr>
          <w:rFonts w:eastAsia="MS Mincho"/>
        </w:rPr>
        <w:t xml:space="preserve">Millionen Euro und lag damit rund </w:t>
      </w:r>
      <w:r w:rsidR="001E3346" w:rsidRPr="003F7AD7">
        <w:rPr>
          <w:rFonts w:eastAsia="MS Mincho"/>
        </w:rPr>
        <w:t>205</w:t>
      </w:r>
      <w:r w:rsidR="0044190D" w:rsidRPr="003F7AD7">
        <w:rPr>
          <w:rFonts w:eastAsia="MS Mincho"/>
        </w:rPr>
        <w:t xml:space="preserve"> Millionen Euro bzw. </w:t>
      </w:r>
      <w:r w:rsidR="001E3346" w:rsidRPr="003F7AD7">
        <w:rPr>
          <w:rFonts w:eastAsia="MS Mincho"/>
        </w:rPr>
        <w:t>5,5</w:t>
      </w:r>
      <w:r w:rsidR="00994587" w:rsidRPr="003F7AD7">
        <w:rPr>
          <w:rFonts w:eastAsia="MS Mincho"/>
        </w:rPr>
        <w:t> </w:t>
      </w:r>
      <w:r w:rsidR="0044190D" w:rsidRPr="003F7AD7">
        <w:rPr>
          <w:rFonts w:eastAsia="MS Mincho"/>
        </w:rPr>
        <w:t>Prozent über dem Vorjahre</w:t>
      </w:r>
      <w:r w:rsidR="00AA2257" w:rsidRPr="003F7AD7">
        <w:rPr>
          <w:rFonts w:eastAsia="MS Mincho"/>
        </w:rPr>
        <w:t>s</w:t>
      </w:r>
      <w:r w:rsidR="0044190D" w:rsidRPr="003F7AD7">
        <w:rPr>
          <w:rFonts w:eastAsia="MS Mincho"/>
        </w:rPr>
        <w:t xml:space="preserve">niveau. </w:t>
      </w:r>
      <w:r w:rsidR="00B9207C" w:rsidRPr="003F7AD7">
        <w:rPr>
          <w:rFonts w:eastAsia="MS Mincho"/>
        </w:rPr>
        <w:t>Die Kreissparkasse Augsburg liegt damit im Vergleich der 64 bayerischen Sparkassen auf Platz 23.</w:t>
      </w:r>
    </w:p>
    <w:p w14:paraId="075A5243" w14:textId="77777777" w:rsidR="0044190D" w:rsidRPr="0044190D" w:rsidRDefault="00903803" w:rsidP="00493AB1">
      <w:pPr>
        <w:rPr>
          <w:rFonts w:eastAsia="MS Mincho"/>
        </w:rPr>
      </w:pPr>
      <w:r>
        <w:rPr>
          <w:rFonts w:eastAsia="MS Mincho"/>
        </w:rPr>
        <w:t xml:space="preserve">Die </w:t>
      </w:r>
      <w:r w:rsidRPr="00C86F44">
        <w:rPr>
          <w:rFonts w:eastAsia="MS Mincho"/>
          <w:b/>
        </w:rPr>
        <w:t>Gesamteinlagen</w:t>
      </w:r>
      <w:r>
        <w:rPr>
          <w:rFonts w:eastAsia="MS Mincho"/>
        </w:rPr>
        <w:t xml:space="preserve"> betrugen </w:t>
      </w:r>
      <w:r w:rsidR="001E3346" w:rsidRPr="001649DB">
        <w:rPr>
          <w:rFonts w:eastAsia="MS Mincho"/>
        </w:rPr>
        <w:t>3.033</w:t>
      </w:r>
      <w:r w:rsidR="0044190D" w:rsidRPr="001649DB">
        <w:rPr>
          <w:rFonts w:eastAsia="MS Mincho"/>
        </w:rPr>
        <w:t xml:space="preserve"> Millionen Euro</w:t>
      </w:r>
      <w:r>
        <w:rPr>
          <w:rFonts w:eastAsia="MS Mincho"/>
        </w:rPr>
        <w:t xml:space="preserve"> und stiegen damit im Vergleich zum Vorjahr um rund 149 Millionen Euro bzw. 5,2 Prozent. </w:t>
      </w:r>
      <w:r w:rsidR="0044190D" w:rsidRPr="001649DB">
        <w:rPr>
          <w:rFonts w:eastAsia="MS Mincho"/>
        </w:rPr>
        <w:t>Der Großteil der Einlagen stammt mit 2.</w:t>
      </w:r>
      <w:r w:rsidR="001E3346" w:rsidRPr="001649DB">
        <w:rPr>
          <w:rFonts w:eastAsia="MS Mincho"/>
        </w:rPr>
        <w:t>462</w:t>
      </w:r>
      <w:r w:rsidR="0044190D" w:rsidRPr="001649DB">
        <w:rPr>
          <w:rFonts w:eastAsia="MS Mincho"/>
        </w:rPr>
        <w:t xml:space="preserve"> Millionen Euro (Vorjahr: 2.</w:t>
      </w:r>
      <w:r w:rsidR="001E3346" w:rsidRPr="001649DB">
        <w:rPr>
          <w:rFonts w:eastAsia="MS Mincho"/>
        </w:rPr>
        <w:t>331</w:t>
      </w:r>
      <w:r w:rsidR="0044190D" w:rsidRPr="001649DB">
        <w:rPr>
          <w:rFonts w:eastAsia="MS Mincho"/>
        </w:rPr>
        <w:t xml:space="preserve"> Millionen Euro, also plus </w:t>
      </w:r>
      <w:r w:rsidR="001E3346" w:rsidRPr="001649DB">
        <w:rPr>
          <w:rFonts w:eastAsia="MS Mincho"/>
        </w:rPr>
        <w:t>131</w:t>
      </w:r>
      <w:r w:rsidR="0044190D" w:rsidRPr="001649DB">
        <w:rPr>
          <w:rFonts w:eastAsia="MS Mincho"/>
        </w:rPr>
        <w:t xml:space="preserve"> Millionen Euro) von Privatpersonen.</w:t>
      </w:r>
      <w:r w:rsidR="0044190D" w:rsidRPr="0044190D">
        <w:rPr>
          <w:rFonts w:eastAsia="MS Mincho"/>
        </w:rPr>
        <w:t xml:space="preserve"> </w:t>
      </w:r>
      <w:r w:rsidR="003E14BE">
        <w:rPr>
          <w:rFonts w:eastAsia="MS Mincho"/>
        </w:rPr>
        <w:t>Diese ziehen insbesondere onlinefähige Geldmarkt- oder Girokonten einer Anlage in Wertpapieren oder Fonds vor – und das t</w:t>
      </w:r>
      <w:r w:rsidR="00C86F44">
        <w:rPr>
          <w:rFonts w:eastAsia="MS Mincho"/>
        </w:rPr>
        <w:t>rotz historisch niedriger Zinsen Damit zeigen sie</w:t>
      </w:r>
      <w:r w:rsidR="0044190D" w:rsidRPr="0044190D">
        <w:rPr>
          <w:rFonts w:eastAsia="MS Mincho"/>
        </w:rPr>
        <w:t xml:space="preserve"> ihr Vertrauen in die Kreissparkasse</w:t>
      </w:r>
      <w:r w:rsidR="00AA2257">
        <w:rPr>
          <w:rFonts w:eastAsia="MS Mincho"/>
        </w:rPr>
        <w:t>.</w:t>
      </w:r>
      <w:r w:rsidR="0044190D" w:rsidRPr="0044190D">
        <w:rPr>
          <w:rFonts w:eastAsia="MS Mincho"/>
        </w:rPr>
        <w:t xml:space="preserve"> </w:t>
      </w:r>
      <w:r w:rsidR="00C86F44">
        <w:rPr>
          <w:rFonts w:eastAsia="MS Mincho"/>
        </w:rPr>
        <w:lastRenderedPageBreak/>
        <w:t>Auch Unternehmen und Kommunen halten</w:t>
      </w:r>
      <w:r w:rsidR="0044190D" w:rsidRPr="0044190D">
        <w:rPr>
          <w:rFonts w:eastAsia="MS Mincho"/>
        </w:rPr>
        <w:t xml:space="preserve"> Liquidität in der Regel</w:t>
      </w:r>
      <w:r w:rsidR="00C86F44">
        <w:rPr>
          <w:rFonts w:eastAsia="MS Mincho"/>
        </w:rPr>
        <w:t xml:space="preserve"> so vor, dass sie</w:t>
      </w:r>
      <w:r w:rsidR="0044190D" w:rsidRPr="0044190D">
        <w:rPr>
          <w:rFonts w:eastAsia="MS Mincho"/>
        </w:rPr>
        <w:t xml:space="preserve"> kurzfristig verfügbar </w:t>
      </w:r>
      <w:r w:rsidR="00C86F44">
        <w:rPr>
          <w:rFonts w:eastAsia="MS Mincho"/>
        </w:rPr>
        <w:t>ist</w:t>
      </w:r>
      <w:r w:rsidR="0044190D" w:rsidRPr="0044190D">
        <w:rPr>
          <w:rFonts w:eastAsia="MS Mincho"/>
        </w:rPr>
        <w:t xml:space="preserve">. </w:t>
      </w:r>
    </w:p>
    <w:p w14:paraId="2F127FF3" w14:textId="77777777" w:rsidR="0044190D" w:rsidRDefault="00C86F44" w:rsidP="00493AB1">
      <w:pPr>
        <w:rPr>
          <w:rFonts w:eastAsia="MS Mincho"/>
        </w:rPr>
      </w:pPr>
      <w:r>
        <w:rPr>
          <w:rFonts w:eastAsia="MS Mincho"/>
        </w:rPr>
        <w:t>A</w:t>
      </w:r>
      <w:r w:rsidRPr="001649DB">
        <w:rPr>
          <w:rFonts w:eastAsia="MS Mincho"/>
        </w:rPr>
        <w:t xml:space="preserve">ngesichts des niedrigen Zinsniveaus </w:t>
      </w:r>
      <w:r>
        <w:rPr>
          <w:rFonts w:eastAsia="MS Mincho"/>
        </w:rPr>
        <w:t>ist auch d</w:t>
      </w:r>
      <w:r w:rsidR="0044190D" w:rsidRPr="001649DB">
        <w:rPr>
          <w:rFonts w:eastAsia="MS Mincho"/>
        </w:rPr>
        <w:t xml:space="preserve">as </w:t>
      </w:r>
      <w:r w:rsidR="0044190D" w:rsidRPr="001649DB">
        <w:rPr>
          <w:rFonts w:eastAsia="MS Mincho"/>
          <w:b/>
          <w:bCs/>
        </w:rPr>
        <w:t>Kreditgeschäft</w:t>
      </w:r>
      <w:r w:rsidR="0044190D" w:rsidRPr="001649DB">
        <w:rPr>
          <w:rFonts w:eastAsia="MS Mincho"/>
        </w:rPr>
        <w:t xml:space="preserve"> gewachsen: </w:t>
      </w:r>
      <w:r>
        <w:rPr>
          <w:rFonts w:eastAsia="MS Mincho"/>
        </w:rPr>
        <w:t>Z</w:t>
      </w:r>
      <w:r w:rsidRPr="001649DB">
        <w:rPr>
          <w:rFonts w:eastAsia="MS Mincho"/>
        </w:rPr>
        <w:t>um Jahresende 2020</w:t>
      </w:r>
      <w:r>
        <w:rPr>
          <w:rFonts w:eastAsia="MS Mincho"/>
        </w:rPr>
        <w:t xml:space="preserve"> hatte die Kreissparkasse Augsburg </w:t>
      </w:r>
      <w:r w:rsidR="0044190D" w:rsidRPr="001649DB">
        <w:rPr>
          <w:rFonts w:eastAsia="MS Mincho"/>
        </w:rPr>
        <w:t>2.</w:t>
      </w:r>
      <w:r w:rsidR="00505FB0" w:rsidRPr="001649DB">
        <w:rPr>
          <w:rFonts w:eastAsia="MS Mincho"/>
        </w:rPr>
        <w:t>847</w:t>
      </w:r>
      <w:r w:rsidR="0044190D" w:rsidRPr="001649DB">
        <w:rPr>
          <w:rFonts w:eastAsia="MS Mincho"/>
        </w:rPr>
        <w:t xml:space="preserve"> Millionen Euro an ihre Kunden ausgeliehen. Das entspricht einem Wachstum </w:t>
      </w:r>
      <w:r w:rsidR="00AA2257" w:rsidRPr="001649DB">
        <w:rPr>
          <w:rFonts w:eastAsia="MS Mincho"/>
        </w:rPr>
        <w:t>von</w:t>
      </w:r>
      <w:r w:rsidR="0044190D" w:rsidRPr="001649DB">
        <w:rPr>
          <w:rFonts w:eastAsia="MS Mincho"/>
        </w:rPr>
        <w:t xml:space="preserve"> </w:t>
      </w:r>
      <w:r w:rsidR="00505FB0" w:rsidRPr="001649DB">
        <w:rPr>
          <w:rFonts w:eastAsia="MS Mincho"/>
        </w:rPr>
        <w:t>128</w:t>
      </w:r>
      <w:r w:rsidR="0044190D" w:rsidRPr="001649DB">
        <w:rPr>
          <w:rFonts w:eastAsia="MS Mincho"/>
        </w:rPr>
        <w:t xml:space="preserve"> Millionen Euro bzw. rund </w:t>
      </w:r>
      <w:r w:rsidR="00505FB0" w:rsidRPr="001649DB">
        <w:rPr>
          <w:rFonts w:eastAsia="MS Mincho"/>
        </w:rPr>
        <w:t xml:space="preserve">4,7 </w:t>
      </w:r>
      <w:r w:rsidR="0044190D" w:rsidRPr="001649DB">
        <w:rPr>
          <w:rFonts w:eastAsia="MS Mincho"/>
        </w:rPr>
        <w:t>Prozent. Die Ausleihungen an Privatpersonen aus eigenen Mitteln der Sparkasse waren mit 1.0</w:t>
      </w:r>
      <w:r w:rsidR="00505FB0" w:rsidRPr="001649DB">
        <w:rPr>
          <w:rFonts w:eastAsia="MS Mincho"/>
        </w:rPr>
        <w:t>46</w:t>
      </w:r>
      <w:r w:rsidR="0044190D" w:rsidRPr="001649DB">
        <w:rPr>
          <w:rFonts w:eastAsia="MS Mincho"/>
        </w:rPr>
        <w:t xml:space="preserve"> Millionen Euro leicht rückläufig (Vorjahr: 1.0</w:t>
      </w:r>
      <w:r w:rsidR="00505FB0" w:rsidRPr="001649DB">
        <w:rPr>
          <w:rFonts w:eastAsia="MS Mincho"/>
        </w:rPr>
        <w:t>54</w:t>
      </w:r>
      <w:r w:rsidR="00D25FE8" w:rsidRPr="001649DB">
        <w:rPr>
          <w:rFonts w:eastAsia="MS Mincho"/>
        </w:rPr>
        <w:t xml:space="preserve"> </w:t>
      </w:r>
      <w:r w:rsidR="0044190D" w:rsidRPr="001649DB">
        <w:rPr>
          <w:rFonts w:eastAsia="MS Mincho"/>
        </w:rPr>
        <w:t xml:space="preserve">Millionen Euro), jedoch wurden </w:t>
      </w:r>
      <w:r w:rsidR="00505FB0" w:rsidRPr="001649DB">
        <w:rPr>
          <w:rFonts w:eastAsia="MS Mincho"/>
        </w:rPr>
        <w:t xml:space="preserve">60 </w:t>
      </w:r>
      <w:r w:rsidR="0044190D" w:rsidRPr="001649DB">
        <w:rPr>
          <w:rFonts w:eastAsia="MS Mincho"/>
        </w:rPr>
        <w:t>Mi</w:t>
      </w:r>
      <w:r w:rsidR="00542541" w:rsidRPr="001649DB">
        <w:rPr>
          <w:rFonts w:eastAsia="MS Mincho"/>
        </w:rPr>
        <w:t>llionen</w:t>
      </w:r>
      <w:r w:rsidR="0044190D" w:rsidRPr="001649DB">
        <w:rPr>
          <w:rFonts w:eastAsia="MS Mincho"/>
        </w:rPr>
        <w:t xml:space="preserve"> Euro Kredite an die Partner im Sparkassenverbund</w:t>
      </w:r>
      <w:r w:rsidR="00542541" w:rsidRPr="001649DB">
        <w:rPr>
          <w:rFonts w:eastAsia="MS Mincho"/>
        </w:rPr>
        <w:t xml:space="preserve">, </w:t>
      </w:r>
      <w:r w:rsidR="0044190D" w:rsidRPr="001649DB">
        <w:rPr>
          <w:rFonts w:eastAsia="MS Mincho"/>
        </w:rPr>
        <w:t>LBS Bayern und Versicherungskammer Bayern</w:t>
      </w:r>
      <w:r w:rsidR="00542541" w:rsidRPr="001649DB">
        <w:rPr>
          <w:rFonts w:eastAsia="MS Mincho"/>
        </w:rPr>
        <w:t xml:space="preserve">, </w:t>
      </w:r>
      <w:r w:rsidR="0044190D" w:rsidRPr="001649DB">
        <w:rPr>
          <w:rFonts w:eastAsia="MS Mincho"/>
        </w:rPr>
        <w:t>vermittelt.</w:t>
      </w:r>
      <w:r w:rsidR="0044190D" w:rsidRPr="0044190D">
        <w:rPr>
          <w:rFonts w:eastAsia="MS Mincho"/>
        </w:rPr>
        <w:t xml:space="preserve"> </w:t>
      </w:r>
    </w:p>
    <w:p w14:paraId="73C35C2D" w14:textId="77777777" w:rsidR="00065E63" w:rsidRDefault="00146A8D" w:rsidP="00065E63">
      <w:pPr>
        <w:rPr>
          <w:rFonts w:eastAsia="MS Mincho"/>
        </w:rPr>
      </w:pPr>
      <w:r>
        <w:rPr>
          <w:rFonts w:eastAsia="MS Mincho"/>
        </w:rPr>
        <w:t>Die Ausleihungen an Unternehmen und Selbstständige stiegen, auch wegen g</w:t>
      </w:r>
      <w:r w:rsidR="00C84522">
        <w:rPr>
          <w:rFonts w:eastAsia="MS Mincho"/>
        </w:rPr>
        <w:t>roßvolumiger</w:t>
      </w:r>
      <w:r>
        <w:rPr>
          <w:rFonts w:eastAsia="MS Mincho"/>
        </w:rPr>
        <w:t xml:space="preserve"> Projektfinanzierungen, um 5,4 Prozent auf 1.719 Millionen Euro (Vorjahr: 1.632 Millionen Euro). „Das zeigt, dass Unternehmen in der Region auch in der Pandemie optimistisch sind und weiter investieren“, sagt Horst Schönfeld, stellvertretender Vorstandsvorsitzender der Kreissparkasse</w:t>
      </w:r>
      <w:r w:rsidR="00EC4210">
        <w:rPr>
          <w:rFonts w:eastAsia="MS Mincho"/>
        </w:rPr>
        <w:t xml:space="preserve"> Augsburg</w:t>
      </w:r>
      <w:r>
        <w:rPr>
          <w:rFonts w:eastAsia="MS Mincho"/>
        </w:rPr>
        <w:t xml:space="preserve">. </w:t>
      </w:r>
      <w:r w:rsidR="008D0C0C">
        <w:rPr>
          <w:rFonts w:eastAsia="MS Mincho"/>
        </w:rPr>
        <w:t xml:space="preserve">Da </w:t>
      </w:r>
      <w:r w:rsidR="008D0C0C" w:rsidRPr="0044190D">
        <w:rPr>
          <w:rFonts w:eastAsia="MS Mincho"/>
        </w:rPr>
        <w:t>aufgrund des niedrigen Zinsniveaus hohe Sondertilgungen getätigt wurden</w:t>
      </w:r>
      <w:r w:rsidR="008D0C0C">
        <w:rPr>
          <w:rFonts w:eastAsia="MS Mincho"/>
        </w:rPr>
        <w:t>, ist</w:t>
      </w:r>
      <w:r w:rsidR="008D0C0C" w:rsidRPr="0044190D">
        <w:rPr>
          <w:rFonts w:eastAsia="MS Mincho"/>
        </w:rPr>
        <w:t xml:space="preserve"> </w:t>
      </w:r>
      <w:r>
        <w:rPr>
          <w:rFonts w:eastAsia="MS Mincho"/>
        </w:rPr>
        <w:t>das</w:t>
      </w:r>
      <w:r w:rsidR="0044190D" w:rsidRPr="0044190D">
        <w:rPr>
          <w:rFonts w:eastAsia="MS Mincho"/>
        </w:rPr>
        <w:t xml:space="preserve"> Wachstum</w:t>
      </w:r>
      <w:r w:rsidR="008D0C0C">
        <w:rPr>
          <w:rFonts w:eastAsia="MS Mincho"/>
        </w:rPr>
        <w:t xml:space="preserve"> </w:t>
      </w:r>
      <w:r>
        <w:rPr>
          <w:rFonts w:eastAsia="MS Mincho"/>
        </w:rPr>
        <w:t xml:space="preserve">bei Krediten und Darlehen </w:t>
      </w:r>
      <w:r w:rsidR="008D0C0C">
        <w:rPr>
          <w:rFonts w:eastAsia="MS Mincho"/>
        </w:rPr>
        <w:t>bemerkenswert</w:t>
      </w:r>
      <w:r w:rsidR="0044190D" w:rsidRPr="0044190D">
        <w:rPr>
          <w:rFonts w:eastAsia="MS Mincho"/>
        </w:rPr>
        <w:t xml:space="preserve">. </w:t>
      </w:r>
      <w:r>
        <w:rPr>
          <w:rFonts w:eastAsia="MS Mincho"/>
        </w:rPr>
        <w:t>„</w:t>
      </w:r>
      <w:r w:rsidR="008D0C0C">
        <w:rPr>
          <w:rFonts w:eastAsia="MS Mincho"/>
        </w:rPr>
        <w:t>Angesichts eines harten Wettbewerbs und der wirtschaftlichen Entwicklung brauchen gerade k</w:t>
      </w:r>
      <w:r w:rsidR="0044190D" w:rsidRPr="0044190D">
        <w:rPr>
          <w:rFonts w:eastAsia="MS Mincho"/>
        </w:rPr>
        <w:t>leine und mittlere Unter</w:t>
      </w:r>
      <w:r w:rsidR="00AA2257">
        <w:rPr>
          <w:rFonts w:eastAsia="MS Mincho"/>
        </w:rPr>
        <w:t>n</w:t>
      </w:r>
      <w:r w:rsidR="0044190D" w:rsidRPr="0044190D">
        <w:rPr>
          <w:rFonts w:eastAsia="MS Mincho"/>
        </w:rPr>
        <w:t>ehmen zuverlässige Finanzierungsbedingungen –</w:t>
      </w:r>
      <w:r w:rsidR="00EC4210">
        <w:rPr>
          <w:rFonts w:eastAsia="MS Mincho"/>
        </w:rPr>
        <w:t xml:space="preserve"> </w:t>
      </w:r>
      <w:r>
        <w:rPr>
          <w:rFonts w:eastAsia="MS Mincho"/>
        </w:rPr>
        <w:t>wir stehen</w:t>
      </w:r>
      <w:r w:rsidR="008D0C0C" w:rsidRPr="0044190D">
        <w:rPr>
          <w:rFonts w:eastAsia="MS Mincho"/>
        </w:rPr>
        <w:t xml:space="preserve"> hier </w:t>
      </w:r>
      <w:r w:rsidR="0044190D" w:rsidRPr="0044190D">
        <w:rPr>
          <w:rFonts w:eastAsia="MS Mincho"/>
        </w:rPr>
        <w:t xml:space="preserve">als lokaler Partner kompetent an der Seite </w:t>
      </w:r>
      <w:r>
        <w:rPr>
          <w:rFonts w:eastAsia="MS Mincho"/>
        </w:rPr>
        <w:t>unserer</w:t>
      </w:r>
      <w:r w:rsidR="0044190D" w:rsidRPr="0044190D">
        <w:rPr>
          <w:rFonts w:eastAsia="MS Mincho"/>
        </w:rPr>
        <w:t xml:space="preserve"> Kunden</w:t>
      </w:r>
      <w:r>
        <w:rPr>
          <w:rFonts w:eastAsia="MS Mincho"/>
        </w:rPr>
        <w:t>“, so Schönfeld</w:t>
      </w:r>
      <w:r w:rsidR="0044190D" w:rsidRPr="0044190D">
        <w:rPr>
          <w:rFonts w:eastAsia="MS Mincho"/>
        </w:rPr>
        <w:t xml:space="preserve">. </w:t>
      </w:r>
    </w:p>
    <w:p w14:paraId="28B40E74" w14:textId="77777777" w:rsidR="00C84522" w:rsidRDefault="0044190D" w:rsidP="00065E63">
      <w:pPr>
        <w:rPr>
          <w:rFonts w:eastAsia="MS Mincho"/>
        </w:rPr>
      </w:pPr>
      <w:r w:rsidRPr="0044190D">
        <w:rPr>
          <w:rFonts w:eastAsia="MS Mincho"/>
        </w:rPr>
        <w:t xml:space="preserve">Insgesamt ist die Nachfrage </w:t>
      </w:r>
      <w:r w:rsidR="00994587" w:rsidRPr="0044190D">
        <w:rPr>
          <w:rFonts w:eastAsia="MS Mincho"/>
        </w:rPr>
        <w:t xml:space="preserve">nach Krediten </w:t>
      </w:r>
      <w:r w:rsidR="008A5633">
        <w:rPr>
          <w:rFonts w:eastAsia="MS Mincho"/>
        </w:rPr>
        <w:t>bei</w:t>
      </w:r>
      <w:r w:rsidR="00C84522">
        <w:rPr>
          <w:rFonts w:eastAsia="MS Mincho"/>
        </w:rPr>
        <w:t xml:space="preserve"> Privatpersonen </w:t>
      </w:r>
      <w:r w:rsidRPr="0044190D">
        <w:rPr>
          <w:rFonts w:eastAsia="MS Mincho"/>
        </w:rPr>
        <w:t>und Unternehmen</w:t>
      </w:r>
      <w:r w:rsidR="00994587">
        <w:rPr>
          <w:rFonts w:eastAsia="MS Mincho"/>
        </w:rPr>
        <w:t xml:space="preserve"> </w:t>
      </w:r>
      <w:r w:rsidRPr="0044190D">
        <w:rPr>
          <w:rFonts w:eastAsia="MS Mincho"/>
        </w:rPr>
        <w:t xml:space="preserve">hoch, </w:t>
      </w:r>
      <w:r w:rsidR="00994587">
        <w:rPr>
          <w:rFonts w:eastAsia="MS Mincho"/>
        </w:rPr>
        <w:t>vor allem</w:t>
      </w:r>
      <w:r w:rsidRPr="0044190D">
        <w:rPr>
          <w:rFonts w:eastAsia="MS Mincho"/>
        </w:rPr>
        <w:t xml:space="preserve"> nach Finanzierungen mit langfristige</w:t>
      </w:r>
      <w:r w:rsidR="00AA2257">
        <w:rPr>
          <w:rFonts w:eastAsia="MS Mincho"/>
        </w:rPr>
        <w:t>r</w:t>
      </w:r>
      <w:r w:rsidRPr="0044190D">
        <w:rPr>
          <w:rFonts w:eastAsia="MS Mincho"/>
        </w:rPr>
        <w:t xml:space="preserve"> Zinsfestbindung. Die Kreissparkasse</w:t>
      </w:r>
      <w:r w:rsidR="00C84522">
        <w:rPr>
          <w:rFonts w:eastAsia="MS Mincho"/>
        </w:rPr>
        <w:t xml:space="preserve"> sucht</w:t>
      </w:r>
      <w:r w:rsidRPr="0044190D">
        <w:rPr>
          <w:rFonts w:eastAsia="MS Mincho"/>
        </w:rPr>
        <w:t xml:space="preserve"> </w:t>
      </w:r>
      <w:r w:rsidR="008A5633">
        <w:rPr>
          <w:rFonts w:eastAsia="MS Mincho"/>
        </w:rPr>
        <w:t>für ihre Kunden günstig</w:t>
      </w:r>
      <w:r w:rsidRPr="0044190D">
        <w:rPr>
          <w:rFonts w:eastAsia="MS Mincho"/>
        </w:rPr>
        <w:t>e Finanzierungen</w:t>
      </w:r>
      <w:r w:rsidR="00C84522">
        <w:rPr>
          <w:rFonts w:eastAsia="MS Mincho"/>
        </w:rPr>
        <w:t xml:space="preserve">, indem sie Verbundpartner wie LBS und Versicherungskammer in die Finanzierungsanfrage einbindet. </w:t>
      </w:r>
    </w:p>
    <w:p w14:paraId="1E9B4565" w14:textId="46A540BD" w:rsidR="00065E63" w:rsidRDefault="00662B26" w:rsidP="00065E63">
      <w:pPr>
        <w:rPr>
          <w:rFonts w:eastAsia="MS Mincho"/>
        </w:rPr>
      </w:pPr>
      <w:r>
        <w:rPr>
          <w:rFonts w:eastAsia="MS Mincho"/>
        </w:rPr>
        <w:t>Am</w:t>
      </w:r>
      <w:r w:rsidR="0044190D" w:rsidRPr="000D400E">
        <w:rPr>
          <w:rFonts w:eastAsia="MS Mincho"/>
        </w:rPr>
        <w:t xml:space="preserve"> </w:t>
      </w:r>
      <w:r w:rsidR="0044190D" w:rsidRPr="000D400E">
        <w:rPr>
          <w:rFonts w:eastAsia="MS Mincho"/>
          <w:b/>
          <w:bCs/>
        </w:rPr>
        <w:t>Immobilienmarkt</w:t>
      </w:r>
      <w:r w:rsidR="0044190D" w:rsidRPr="000D400E">
        <w:rPr>
          <w:rFonts w:eastAsia="MS Mincho"/>
        </w:rPr>
        <w:t xml:space="preserve"> </w:t>
      </w:r>
      <w:r>
        <w:rPr>
          <w:rFonts w:eastAsia="MS Mincho"/>
        </w:rPr>
        <w:t xml:space="preserve">setzt sich die Entwicklung der Vorjahre trotz der Pandemie fort: </w:t>
      </w:r>
      <w:r w:rsidR="00EC4210">
        <w:rPr>
          <w:rFonts w:eastAsia="MS Mincho"/>
        </w:rPr>
        <w:t xml:space="preserve">Der </w:t>
      </w:r>
      <w:r w:rsidR="0044190D" w:rsidRPr="000D400E">
        <w:rPr>
          <w:rFonts w:eastAsia="MS Mincho"/>
        </w:rPr>
        <w:t>hohe</w:t>
      </w:r>
      <w:r>
        <w:rPr>
          <w:rFonts w:eastAsia="MS Mincho"/>
        </w:rPr>
        <w:t>n</w:t>
      </w:r>
      <w:r w:rsidR="0044190D" w:rsidRPr="000D400E">
        <w:rPr>
          <w:rFonts w:eastAsia="MS Mincho"/>
        </w:rPr>
        <w:t xml:space="preserve"> Nachfrage</w:t>
      </w:r>
      <w:r>
        <w:rPr>
          <w:rFonts w:eastAsia="MS Mincho"/>
        </w:rPr>
        <w:t xml:space="preserve"> steht nur ein geringes Angebot gegenüber. Die Kreissparkasse zeigte auch im vergangenen Jahr in diesem angespannten Markt ihre Kompetenz.</w:t>
      </w:r>
      <w:r w:rsidR="0044190D" w:rsidRPr="000D400E">
        <w:rPr>
          <w:rFonts w:eastAsia="MS Mincho"/>
        </w:rPr>
        <w:t xml:space="preserve"> Das ImmobilienCenter vermittelte insgesamt 1</w:t>
      </w:r>
      <w:r w:rsidR="00121DB5" w:rsidRPr="000D400E">
        <w:rPr>
          <w:rFonts w:eastAsia="MS Mincho"/>
        </w:rPr>
        <w:t>70</w:t>
      </w:r>
      <w:r w:rsidR="0044190D" w:rsidRPr="000D400E">
        <w:rPr>
          <w:rFonts w:eastAsia="MS Mincho"/>
        </w:rPr>
        <w:t xml:space="preserve"> Objekte (Vorjahr: 16</w:t>
      </w:r>
      <w:r w:rsidR="00121DB5" w:rsidRPr="000D400E">
        <w:rPr>
          <w:rFonts w:eastAsia="MS Mincho"/>
        </w:rPr>
        <w:t>0</w:t>
      </w:r>
      <w:r w:rsidR="0044190D" w:rsidRPr="000D400E">
        <w:rPr>
          <w:rFonts w:eastAsia="MS Mincho"/>
        </w:rPr>
        <w:t xml:space="preserve">) im Wert von rund </w:t>
      </w:r>
      <w:r w:rsidR="00C15172" w:rsidRPr="000D400E">
        <w:rPr>
          <w:rFonts w:eastAsia="MS Mincho"/>
        </w:rPr>
        <w:t>65,8</w:t>
      </w:r>
      <w:r w:rsidR="0044190D" w:rsidRPr="000D400E">
        <w:rPr>
          <w:rFonts w:eastAsia="MS Mincho"/>
        </w:rPr>
        <w:t xml:space="preserve"> Millionen Euro (Vorjahr: </w:t>
      </w:r>
      <w:r w:rsidR="00C15172" w:rsidRPr="000D400E">
        <w:rPr>
          <w:rFonts w:eastAsia="MS Mincho"/>
        </w:rPr>
        <w:t>54,5</w:t>
      </w:r>
      <w:r w:rsidR="0044190D" w:rsidRPr="000D400E">
        <w:rPr>
          <w:rFonts w:eastAsia="MS Mincho"/>
        </w:rPr>
        <w:t xml:space="preserve"> Millionen Euro) und belegt damit Platz </w:t>
      </w:r>
      <w:r w:rsidR="008B20EE">
        <w:rPr>
          <w:rFonts w:eastAsia="MS Mincho"/>
        </w:rPr>
        <w:t>16</w:t>
      </w:r>
      <w:bookmarkStart w:id="0" w:name="_GoBack"/>
      <w:bookmarkEnd w:id="0"/>
      <w:r w:rsidR="0044190D" w:rsidRPr="000D400E">
        <w:rPr>
          <w:rFonts w:eastAsia="MS Mincho"/>
        </w:rPr>
        <w:t xml:space="preserve"> bei den 64 bayerischen Sparkassen. </w:t>
      </w:r>
      <w:r w:rsidR="0044190D" w:rsidRPr="0044190D">
        <w:rPr>
          <w:rFonts w:eastAsia="MS Mincho"/>
        </w:rPr>
        <w:t xml:space="preserve">Neben der Vermittlung von privaten Objekten </w:t>
      </w:r>
      <w:r>
        <w:rPr>
          <w:rFonts w:eastAsia="MS Mincho"/>
        </w:rPr>
        <w:t>ist auch</w:t>
      </w:r>
      <w:r w:rsidR="0044190D" w:rsidRPr="0044190D">
        <w:rPr>
          <w:rFonts w:eastAsia="MS Mincho"/>
        </w:rPr>
        <w:t xml:space="preserve"> </w:t>
      </w:r>
      <w:r>
        <w:rPr>
          <w:rFonts w:eastAsia="MS Mincho"/>
        </w:rPr>
        <w:t>die Erfahrung der Kreissparkasse</w:t>
      </w:r>
      <w:r w:rsidR="0044190D" w:rsidRPr="0044190D">
        <w:rPr>
          <w:rFonts w:eastAsia="MS Mincho"/>
        </w:rPr>
        <w:t xml:space="preserve"> bei der Vermittlung </w:t>
      </w:r>
      <w:r w:rsidR="0044190D" w:rsidRPr="0044190D">
        <w:rPr>
          <w:rFonts w:eastAsia="MS Mincho"/>
        </w:rPr>
        <w:lastRenderedPageBreak/>
        <w:t xml:space="preserve">gewerblicher Objekte gefragt. </w:t>
      </w:r>
      <w:r>
        <w:rPr>
          <w:rFonts w:eastAsia="MS Mincho"/>
        </w:rPr>
        <w:t xml:space="preserve">Die Nachfrage am Neubaumarkt ist anhaltend hoch. </w:t>
      </w:r>
    </w:p>
    <w:p w14:paraId="45C1F195" w14:textId="77777777" w:rsidR="00065E63" w:rsidRDefault="0044190D" w:rsidP="00065E63">
      <w:pPr>
        <w:rPr>
          <w:rFonts w:eastAsia="MS Mincho"/>
        </w:rPr>
      </w:pPr>
      <w:r w:rsidRPr="003F7AD7">
        <w:rPr>
          <w:rFonts w:eastAsia="MS Mincho"/>
        </w:rPr>
        <w:t xml:space="preserve">Der Bilanzgewinn beläuft sich auf </w:t>
      </w:r>
      <w:r w:rsidR="00B608C3" w:rsidRPr="003F7AD7">
        <w:rPr>
          <w:rFonts w:eastAsia="MS Mincho"/>
        </w:rPr>
        <w:t>3,2</w:t>
      </w:r>
      <w:r w:rsidR="00520089" w:rsidRPr="003F7AD7">
        <w:rPr>
          <w:rFonts w:eastAsia="MS Mincho"/>
        </w:rPr>
        <w:t xml:space="preserve"> </w:t>
      </w:r>
      <w:r w:rsidRPr="003F7AD7">
        <w:rPr>
          <w:rFonts w:eastAsia="MS Mincho"/>
        </w:rPr>
        <w:t>Millionen Euro (Vorjahr: 3</w:t>
      </w:r>
      <w:r w:rsidR="00520089" w:rsidRPr="003F7AD7">
        <w:rPr>
          <w:rFonts w:eastAsia="MS Mincho"/>
        </w:rPr>
        <w:t>,5</w:t>
      </w:r>
      <w:r w:rsidR="00662B26" w:rsidRPr="003F7AD7">
        <w:rPr>
          <w:rFonts w:eastAsia="MS Mincho"/>
        </w:rPr>
        <w:t xml:space="preserve"> </w:t>
      </w:r>
      <w:r w:rsidRPr="003F7AD7">
        <w:rPr>
          <w:rFonts w:eastAsia="MS Mincho"/>
        </w:rPr>
        <w:t>Millionen Euro). Die Gesamtkapitalquote beträgt 16,</w:t>
      </w:r>
      <w:r w:rsidR="009857DC" w:rsidRPr="003F7AD7">
        <w:rPr>
          <w:rFonts w:eastAsia="MS Mincho"/>
        </w:rPr>
        <w:t>8</w:t>
      </w:r>
      <w:r w:rsidRPr="003F7AD7">
        <w:rPr>
          <w:rFonts w:eastAsia="MS Mincho"/>
        </w:rPr>
        <w:t xml:space="preserve"> Prozent (Vorjahr: </w:t>
      </w:r>
      <w:r w:rsidR="009857DC" w:rsidRPr="003F7AD7">
        <w:rPr>
          <w:rFonts w:eastAsia="MS Mincho"/>
        </w:rPr>
        <w:t>16,6</w:t>
      </w:r>
      <w:r w:rsidRPr="003F7AD7">
        <w:rPr>
          <w:rFonts w:eastAsia="MS Mincho"/>
        </w:rPr>
        <w:t xml:space="preserve"> Prozent). </w:t>
      </w:r>
      <w:r w:rsidR="008A5633" w:rsidRPr="003F7AD7">
        <w:rPr>
          <w:rFonts w:eastAsia="MS Mincho"/>
        </w:rPr>
        <w:t>Damit erfüllt d</w:t>
      </w:r>
      <w:r w:rsidR="00662B26" w:rsidRPr="003F7AD7">
        <w:rPr>
          <w:rFonts w:eastAsia="MS Mincho"/>
        </w:rPr>
        <w:t xml:space="preserve">ie Kreissparkasse </w:t>
      </w:r>
      <w:r w:rsidR="00C84522" w:rsidRPr="003F7AD7">
        <w:rPr>
          <w:rFonts w:eastAsia="MS Mincho"/>
        </w:rPr>
        <w:t>sämtliche</w:t>
      </w:r>
      <w:r w:rsidRPr="003F7AD7">
        <w:rPr>
          <w:rFonts w:eastAsia="MS Mincho"/>
        </w:rPr>
        <w:t xml:space="preserve"> aufsichtsrechtlichen Eigenkapitalanforderungen, die </w:t>
      </w:r>
      <w:r w:rsidR="008A5633" w:rsidRPr="003F7AD7">
        <w:rPr>
          <w:rFonts w:eastAsia="MS Mincho"/>
        </w:rPr>
        <w:t>kontinuierlich</w:t>
      </w:r>
      <w:r w:rsidRPr="0044190D">
        <w:rPr>
          <w:rFonts w:eastAsia="MS Mincho"/>
        </w:rPr>
        <w:t xml:space="preserve"> steigen.</w:t>
      </w:r>
    </w:p>
    <w:p w14:paraId="3C5DBC51" w14:textId="77777777" w:rsidR="00065E63" w:rsidRDefault="00942A48" w:rsidP="00065E63">
      <w:pPr>
        <w:rPr>
          <w:rFonts w:eastAsia="MS Mincho"/>
          <w:b/>
          <w:bCs/>
        </w:rPr>
      </w:pPr>
      <w:r>
        <w:rPr>
          <w:rFonts w:eastAsia="MS Mincho"/>
          <w:b/>
          <w:bCs/>
        </w:rPr>
        <w:t>Persönlich und digital</w:t>
      </w:r>
    </w:p>
    <w:p w14:paraId="730E4B6F" w14:textId="77777777" w:rsidR="00592076" w:rsidRDefault="0044190D" w:rsidP="00065E63">
      <w:pPr>
        <w:rPr>
          <w:rFonts w:eastAsia="MS Mincho"/>
        </w:rPr>
      </w:pPr>
      <w:r w:rsidRPr="003F7AD7">
        <w:rPr>
          <w:rFonts w:eastAsia="MS Mincho"/>
        </w:rPr>
        <w:t>Die Kreissparkasse betreibt 18 Geschäftsstellen im Landkreis und in der Stadt Augsburg</w:t>
      </w:r>
      <w:r w:rsidR="00942A48" w:rsidRPr="003F7AD7">
        <w:rPr>
          <w:rFonts w:eastAsia="MS Mincho"/>
        </w:rPr>
        <w:t>. Als systemrelevantes Unternehmen hielt sie diese – unter Berücksichtigung der geltenden Hygieneregeln – auch während des Lockdowns geöffnet</w:t>
      </w:r>
      <w:r w:rsidRPr="003F7AD7">
        <w:rPr>
          <w:rFonts w:eastAsia="MS Mincho"/>
        </w:rPr>
        <w:t xml:space="preserve">. </w:t>
      </w:r>
      <w:r w:rsidR="00B9207C" w:rsidRPr="003F7AD7">
        <w:rPr>
          <w:rFonts w:eastAsia="MS Mincho"/>
        </w:rPr>
        <w:t xml:space="preserve">Möglich war dies nur aufgrund des außergewöhnlichen Engagements der Mitarbeiter, wie Richard Fank, Vorstandsvorsitzender der Kreissparkasse, betont: „Wir bedanken uns bei allen Kolleginnen und Kollegen für ihren vorbildlichen Einsatz </w:t>
      </w:r>
      <w:r w:rsidR="00456CBD" w:rsidRPr="003F7AD7">
        <w:rPr>
          <w:rFonts w:eastAsia="MS Mincho"/>
        </w:rPr>
        <w:t>in diesen besonderen Zeiten</w:t>
      </w:r>
      <w:r w:rsidR="00B9207C" w:rsidRPr="003F7AD7">
        <w:rPr>
          <w:rFonts w:eastAsia="MS Mincho"/>
        </w:rPr>
        <w:t xml:space="preserve">.“ </w:t>
      </w:r>
      <w:r w:rsidR="00942A48" w:rsidRPr="003F7AD7">
        <w:rPr>
          <w:rFonts w:eastAsia="MS Mincho"/>
        </w:rPr>
        <w:t>Gleichzeitig stieg gerade in dieser Phase</w:t>
      </w:r>
      <w:r w:rsidR="00592076" w:rsidRPr="003F7AD7">
        <w:rPr>
          <w:rFonts w:eastAsia="MS Mincho"/>
        </w:rPr>
        <w:t xml:space="preserve"> die</w:t>
      </w:r>
      <w:r w:rsidR="00592076">
        <w:rPr>
          <w:rFonts w:eastAsia="MS Mincho"/>
        </w:rPr>
        <w:t xml:space="preserve"> Nachfrage nach digitalen Serviceangeboten </w:t>
      </w:r>
      <w:r w:rsidR="00942A48">
        <w:rPr>
          <w:rFonts w:eastAsia="MS Mincho"/>
        </w:rPr>
        <w:t>deutlich</w:t>
      </w:r>
      <w:r w:rsidR="00592076">
        <w:rPr>
          <w:rFonts w:eastAsia="MS Mincho"/>
        </w:rPr>
        <w:t xml:space="preserve"> an. „Wir setzen schon seit </w:t>
      </w:r>
      <w:r w:rsidR="00942A48">
        <w:rPr>
          <w:rFonts w:eastAsia="MS Mincho"/>
        </w:rPr>
        <w:t>Jahren konsequent auf die Digitalisierung unserer Leistungen</w:t>
      </w:r>
      <w:r w:rsidR="00634E84">
        <w:rPr>
          <w:rFonts w:eastAsia="MS Mincho"/>
        </w:rPr>
        <w:t>.</w:t>
      </w:r>
      <w:r w:rsidR="00634E84" w:rsidRPr="00634E84">
        <w:rPr>
          <w:rFonts w:eastAsia="MS Mincho"/>
        </w:rPr>
        <w:t xml:space="preserve"> </w:t>
      </w:r>
      <w:r w:rsidR="00634E84">
        <w:rPr>
          <w:rFonts w:eastAsia="MS Mincho"/>
        </w:rPr>
        <w:t>Als unsere Kunden gerade während der Kontaktbeschränkungen vermehrt unsere digitalen Angebote genutzt haben, waren wir darauf bestens vorbereitet</w:t>
      </w:r>
      <w:r w:rsidR="00942A48">
        <w:rPr>
          <w:rFonts w:eastAsia="MS Mincho"/>
        </w:rPr>
        <w:t xml:space="preserve">“, sagt Dr. Wolfgang Zettl. </w:t>
      </w:r>
      <w:r w:rsidR="00634E84">
        <w:rPr>
          <w:rFonts w:eastAsia="MS Mincho"/>
        </w:rPr>
        <w:t xml:space="preserve">Der 55-Jährige ist neues Mitglied im Vorstand der Kreissparkasse. Er wird </w:t>
      </w:r>
      <w:r w:rsidR="008A5633">
        <w:rPr>
          <w:rFonts w:eastAsia="MS Mincho"/>
        </w:rPr>
        <w:t xml:space="preserve">künftig </w:t>
      </w:r>
      <w:r w:rsidR="00634E84">
        <w:rPr>
          <w:rFonts w:eastAsia="MS Mincho"/>
        </w:rPr>
        <w:t>insbesondere die digitalen Service-und Beratungsleistungen weiterentwickeln, zugleich aber auch die persönliche Nähe vor Ort sichern.</w:t>
      </w:r>
      <w:r w:rsidR="00942A48">
        <w:rPr>
          <w:rFonts w:eastAsia="MS Mincho"/>
        </w:rPr>
        <w:t xml:space="preserve"> </w:t>
      </w:r>
    </w:p>
    <w:p w14:paraId="0670E3A1" w14:textId="77777777" w:rsidR="00812F44" w:rsidRPr="00812F44" w:rsidRDefault="00812F44" w:rsidP="00065E63">
      <w:pPr>
        <w:rPr>
          <w:rFonts w:eastAsia="MS Mincho"/>
          <w:b/>
        </w:rPr>
      </w:pPr>
      <w:r w:rsidRPr="00812F44">
        <w:rPr>
          <w:rFonts w:eastAsia="MS Mincho"/>
          <w:b/>
        </w:rPr>
        <w:t>Beitrag zum Klimaschutz</w:t>
      </w:r>
    </w:p>
    <w:p w14:paraId="33D9462B" w14:textId="77777777" w:rsidR="00812F44" w:rsidRDefault="00812F44" w:rsidP="00065E63">
      <w:pPr>
        <w:rPr>
          <w:rFonts w:eastAsia="MS Mincho"/>
        </w:rPr>
      </w:pPr>
      <w:r>
        <w:rPr>
          <w:rFonts w:eastAsia="MS Mincho"/>
        </w:rPr>
        <w:t>Im Herbst 2020 unterzeichnete die Kreissparkasse Augsburg zusammen mit ca. 170 deutschen Sparkassen die Selbstverpflichtung, bis 2035 CO</w:t>
      </w:r>
      <w:r w:rsidRPr="00812F44">
        <w:rPr>
          <w:rFonts w:eastAsia="MS Mincho"/>
          <w:vertAlign w:val="subscript"/>
        </w:rPr>
        <w:t>2</w:t>
      </w:r>
      <w:r>
        <w:rPr>
          <w:rFonts w:eastAsia="MS Mincho"/>
        </w:rPr>
        <w:t xml:space="preserve">-neutral zu werden. </w:t>
      </w:r>
      <w:r w:rsidR="00D76970">
        <w:rPr>
          <w:rFonts w:eastAsia="MS Mincho"/>
        </w:rPr>
        <w:t>Eingebettet ist die</w:t>
      </w:r>
      <w:r w:rsidR="00C04799">
        <w:rPr>
          <w:rFonts w:eastAsia="MS Mincho"/>
        </w:rPr>
        <w:t>se</w:t>
      </w:r>
      <w:r w:rsidR="00D76970">
        <w:rPr>
          <w:rFonts w:eastAsia="MS Mincho"/>
        </w:rPr>
        <w:t xml:space="preserve"> Selbstverpflichtung</w:t>
      </w:r>
      <w:r>
        <w:rPr>
          <w:rFonts w:eastAsia="MS Mincho"/>
        </w:rPr>
        <w:t xml:space="preserve"> in </w:t>
      </w:r>
      <w:r w:rsidR="00EC4210">
        <w:rPr>
          <w:rFonts w:eastAsia="MS Mincho"/>
        </w:rPr>
        <w:t xml:space="preserve">das </w:t>
      </w:r>
      <w:r>
        <w:rPr>
          <w:rFonts w:eastAsia="MS Mincho"/>
        </w:rPr>
        <w:t>neue Zielbild des Deutschen Sparkassen- und Giroverbandes</w:t>
      </w:r>
      <w:r w:rsidR="00D76970">
        <w:rPr>
          <w:rFonts w:eastAsia="MS Mincho"/>
        </w:rPr>
        <w:t>. „Wir sehen das als Fahrplan für unsere nachhaltige strategische Ausrichtung“, sagt Fank. „</w:t>
      </w:r>
      <w:r w:rsidR="00EC4210">
        <w:rPr>
          <w:rFonts w:eastAsia="MS Mincho"/>
        </w:rPr>
        <w:t>W</w:t>
      </w:r>
      <w:r w:rsidR="00D76970">
        <w:rPr>
          <w:rFonts w:eastAsia="MS Mincho"/>
        </w:rPr>
        <w:t>ir sind überzeugt: Wenn wir als Gesellschaft weiterhin selbstbestimmt leben wollen, müssen wir die ökologischen Grundlagen unseres Zusammenlebens schützen. Und zwar heute – nicht erst morgen.“</w:t>
      </w:r>
    </w:p>
    <w:p w14:paraId="3165BFAE" w14:textId="77777777" w:rsidR="00065E63" w:rsidRDefault="0044190D" w:rsidP="00065E63">
      <w:pPr>
        <w:rPr>
          <w:rFonts w:eastAsia="MS Mincho"/>
          <w:b/>
          <w:bCs/>
        </w:rPr>
      </w:pPr>
      <w:r w:rsidRPr="0044190D">
        <w:rPr>
          <w:rFonts w:eastAsia="MS Mincho"/>
          <w:b/>
          <w:bCs/>
        </w:rPr>
        <w:t>Verantwortung für Menschen</w:t>
      </w:r>
      <w:r w:rsidR="00942A48">
        <w:rPr>
          <w:rFonts w:eastAsia="MS Mincho"/>
          <w:b/>
          <w:bCs/>
        </w:rPr>
        <w:t xml:space="preserve"> </w:t>
      </w:r>
    </w:p>
    <w:p w14:paraId="27774ACF" w14:textId="77777777" w:rsidR="00065E63" w:rsidRDefault="00D76970" w:rsidP="00065E63">
      <w:pPr>
        <w:rPr>
          <w:rFonts w:eastAsia="MS Mincho"/>
        </w:rPr>
      </w:pPr>
      <w:r>
        <w:rPr>
          <w:rFonts w:eastAsia="MS Mincho"/>
        </w:rPr>
        <w:lastRenderedPageBreak/>
        <w:t>Auch im Jahr</w:t>
      </w:r>
      <w:r w:rsidR="0044190D" w:rsidRPr="00942A48">
        <w:rPr>
          <w:rFonts w:eastAsia="MS Mincho"/>
        </w:rPr>
        <w:t xml:space="preserve"> </w:t>
      </w:r>
      <w:r w:rsidR="00942A48" w:rsidRPr="00942A48">
        <w:rPr>
          <w:rFonts w:eastAsia="MS Mincho"/>
        </w:rPr>
        <w:t>2020</w:t>
      </w:r>
      <w:r w:rsidR="0044190D" w:rsidRPr="00942A48">
        <w:rPr>
          <w:rFonts w:eastAsia="MS Mincho"/>
        </w:rPr>
        <w:t xml:space="preserve"> unterstützte die Kreissparkasse gemeinnützige Einrichtungen und Projekte in der</w:t>
      </w:r>
      <w:r>
        <w:rPr>
          <w:rFonts w:eastAsia="MS Mincho"/>
        </w:rPr>
        <w:t xml:space="preserve"> Region. </w:t>
      </w:r>
      <w:r w:rsidR="0044190D" w:rsidRPr="00942A48">
        <w:rPr>
          <w:rFonts w:eastAsia="MS Mincho"/>
        </w:rPr>
        <w:t>200.000</w:t>
      </w:r>
      <w:r>
        <w:rPr>
          <w:rFonts w:eastAsia="MS Mincho"/>
        </w:rPr>
        <w:t xml:space="preserve"> </w:t>
      </w:r>
      <w:r w:rsidR="0044190D" w:rsidRPr="00942A48">
        <w:rPr>
          <w:rFonts w:eastAsia="MS Mincho"/>
        </w:rPr>
        <w:t>Euro</w:t>
      </w:r>
      <w:r>
        <w:rPr>
          <w:rFonts w:eastAsia="MS Mincho"/>
        </w:rPr>
        <w:t xml:space="preserve"> flossen in </w:t>
      </w:r>
      <w:r w:rsidR="00D7121D" w:rsidRPr="00942A48">
        <w:rPr>
          <w:rFonts w:eastAsia="MS Mincho"/>
        </w:rPr>
        <w:t>128</w:t>
      </w:r>
      <w:r w:rsidR="0044190D" w:rsidRPr="00942A48">
        <w:rPr>
          <w:rFonts w:eastAsia="MS Mincho"/>
        </w:rPr>
        <w:t xml:space="preserve"> (Vorjahr: </w:t>
      </w:r>
      <w:r w:rsidR="00D7121D" w:rsidRPr="00942A48">
        <w:rPr>
          <w:rFonts w:eastAsia="MS Mincho"/>
        </w:rPr>
        <w:t>191</w:t>
      </w:r>
      <w:r w:rsidR="0044190D" w:rsidRPr="00942A48">
        <w:rPr>
          <w:rFonts w:eastAsia="MS Mincho"/>
        </w:rPr>
        <w:t>) verschiedene Maßnahmen</w:t>
      </w:r>
      <w:r>
        <w:rPr>
          <w:rFonts w:eastAsia="MS Mincho"/>
        </w:rPr>
        <w:t>, die die Kreissparkasse</w:t>
      </w:r>
      <w:r w:rsidR="0044190D" w:rsidRPr="00942A48">
        <w:rPr>
          <w:rFonts w:eastAsia="MS Mincho"/>
        </w:rPr>
        <w:t xml:space="preserve"> ausgewählt und mit Spenden bzw. Sponsoring gefördert</w:t>
      </w:r>
      <w:r>
        <w:rPr>
          <w:rFonts w:eastAsia="MS Mincho"/>
        </w:rPr>
        <w:t xml:space="preserve"> hat</w:t>
      </w:r>
      <w:r w:rsidR="0044190D" w:rsidRPr="00942A48">
        <w:rPr>
          <w:rFonts w:eastAsia="MS Mincho"/>
        </w:rPr>
        <w:t>.</w:t>
      </w:r>
      <w:r w:rsidR="0044190D" w:rsidRPr="0044190D">
        <w:rPr>
          <w:rFonts w:eastAsia="MS Mincho"/>
        </w:rPr>
        <w:t xml:space="preserve"> </w:t>
      </w:r>
    </w:p>
    <w:p w14:paraId="267D9D73" w14:textId="77777777" w:rsidR="00065E63" w:rsidRDefault="0044190D" w:rsidP="00065E63">
      <w:pPr>
        <w:rPr>
          <w:rFonts w:eastAsia="MS Mincho"/>
        </w:rPr>
      </w:pPr>
      <w:r w:rsidRPr="0044190D">
        <w:rPr>
          <w:rFonts w:eastAsia="MS Mincho"/>
        </w:rPr>
        <w:t xml:space="preserve">Zum Jahresende zählte die Kreissparkasse </w:t>
      </w:r>
      <w:r w:rsidR="00386A04" w:rsidRPr="00065E63">
        <w:rPr>
          <w:rFonts w:eastAsia="MS Mincho"/>
        </w:rPr>
        <w:t>489</w:t>
      </w:r>
      <w:r w:rsidRPr="00065E63">
        <w:rPr>
          <w:rFonts w:eastAsia="MS Mincho"/>
        </w:rPr>
        <w:t xml:space="preserve"> Beschäftigte, darunter </w:t>
      </w:r>
      <w:r w:rsidR="00386A04" w:rsidRPr="00065E63">
        <w:rPr>
          <w:rFonts w:eastAsia="MS Mincho"/>
        </w:rPr>
        <w:t>35</w:t>
      </w:r>
      <w:r w:rsidRPr="005114C7">
        <w:rPr>
          <w:rFonts w:eastAsia="MS Mincho"/>
        </w:rPr>
        <w:t xml:space="preserve"> Auszubildende. „</w:t>
      </w:r>
      <w:r w:rsidR="00D76970">
        <w:rPr>
          <w:rFonts w:eastAsia="MS Mincho"/>
        </w:rPr>
        <w:t>Die Ausbildung junge</w:t>
      </w:r>
      <w:r w:rsidR="00EC4210">
        <w:rPr>
          <w:rFonts w:eastAsia="MS Mincho"/>
        </w:rPr>
        <w:t>r</w:t>
      </w:r>
      <w:r w:rsidR="00D76970">
        <w:rPr>
          <w:rFonts w:eastAsia="MS Mincho"/>
        </w:rPr>
        <w:t xml:space="preserve"> Menschen ist in Corona-Zeiten eine besondere Herausforderung“, </w:t>
      </w:r>
      <w:r w:rsidR="00FA6532">
        <w:rPr>
          <w:rFonts w:eastAsia="MS Mincho"/>
        </w:rPr>
        <w:t>betont</w:t>
      </w:r>
      <w:r w:rsidR="00D76970">
        <w:rPr>
          <w:rFonts w:eastAsia="MS Mincho"/>
        </w:rPr>
        <w:t xml:space="preserve"> Fank. </w:t>
      </w:r>
      <w:r w:rsidR="00FA6532">
        <w:rPr>
          <w:rFonts w:eastAsia="MS Mincho"/>
        </w:rPr>
        <w:t>Neben der verstärkten Nutzung digitaler Lernangebote stand die persönliche Betreuung der Auszubildenden im Vordergrund. „</w:t>
      </w:r>
      <w:r w:rsidRPr="0044190D">
        <w:rPr>
          <w:rFonts w:eastAsia="MS Mincho"/>
        </w:rPr>
        <w:t>Nach der Ausbildung bieten wir hervorragende Perspektiven und anspruchsvolle Aufgabenstellungen für motivierte Nachwuchskräfte“, so Fank. „Unsere Beschäftigten binden wir aktiv in Veränderungsprozesse ein. Das alles macht uns zu einem attraktiven Arbeitgeber – auch un</w:t>
      </w:r>
      <w:r w:rsidR="00065E63">
        <w:rPr>
          <w:rFonts w:eastAsia="MS Mincho"/>
        </w:rPr>
        <w:t>d vor allem für junge Menschen.</w:t>
      </w:r>
    </w:p>
    <w:p w14:paraId="3C0E0BBC" w14:textId="77777777" w:rsidR="00146A8D" w:rsidRDefault="00146A8D" w:rsidP="00065E63">
      <w:pPr>
        <w:rPr>
          <w:rFonts w:eastAsia="MS Mincho"/>
        </w:rPr>
      </w:pPr>
    </w:p>
    <w:p w14:paraId="01E505AA" w14:textId="77777777" w:rsidR="00146A8D" w:rsidRPr="00065E63" w:rsidRDefault="00146A8D" w:rsidP="00146A8D">
      <w:pPr>
        <w:spacing w:line="360" w:lineRule="auto"/>
        <w:jc w:val="both"/>
        <w:rPr>
          <w:b/>
        </w:rPr>
      </w:pPr>
      <w:r w:rsidRPr="00065E63">
        <w:rPr>
          <w:b/>
        </w:rPr>
        <w:t>Die wichtigsten Kennzahlen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8"/>
        <w:gridCol w:w="1418"/>
      </w:tblGrid>
      <w:tr w:rsidR="0044190D" w:rsidRPr="00065E63" w14:paraId="0116F14E" w14:textId="77777777" w:rsidTr="002028C8">
        <w:tc>
          <w:tcPr>
            <w:tcW w:w="5637" w:type="dxa"/>
            <w:shd w:val="clear" w:color="auto" w:fill="auto"/>
          </w:tcPr>
          <w:p w14:paraId="4A17007B" w14:textId="77777777" w:rsidR="00065E63" w:rsidRPr="00065E63" w:rsidRDefault="00065E63" w:rsidP="00146A8D">
            <w:pPr>
              <w:spacing w:line="360" w:lineRule="auto"/>
              <w:jc w:val="both"/>
            </w:pPr>
          </w:p>
        </w:tc>
        <w:tc>
          <w:tcPr>
            <w:tcW w:w="1558" w:type="dxa"/>
            <w:shd w:val="clear" w:color="auto" w:fill="auto"/>
          </w:tcPr>
          <w:p w14:paraId="6F7A5197" w14:textId="77777777" w:rsidR="0044190D" w:rsidRPr="00065E63" w:rsidRDefault="00B21B00" w:rsidP="002028C8">
            <w:pPr>
              <w:spacing w:line="360" w:lineRule="auto"/>
              <w:jc w:val="right"/>
            </w:pPr>
            <w:r w:rsidRPr="00065E63">
              <w:t>31.12.2019</w:t>
            </w:r>
          </w:p>
        </w:tc>
        <w:tc>
          <w:tcPr>
            <w:tcW w:w="1418" w:type="dxa"/>
          </w:tcPr>
          <w:p w14:paraId="4298F5B5" w14:textId="77777777" w:rsidR="0044190D" w:rsidRPr="00065E63" w:rsidRDefault="00B21B00" w:rsidP="002028C8">
            <w:pPr>
              <w:spacing w:line="360" w:lineRule="auto"/>
              <w:jc w:val="right"/>
            </w:pPr>
            <w:r w:rsidRPr="00065E63">
              <w:t>31.12.2020</w:t>
            </w:r>
          </w:p>
        </w:tc>
      </w:tr>
      <w:tr w:rsidR="0044190D" w:rsidRPr="00065E63" w14:paraId="6DB9873F" w14:textId="77777777" w:rsidTr="002028C8">
        <w:tc>
          <w:tcPr>
            <w:tcW w:w="5637" w:type="dxa"/>
            <w:shd w:val="clear" w:color="auto" w:fill="auto"/>
          </w:tcPr>
          <w:p w14:paraId="6833FAED" w14:textId="77777777" w:rsidR="0044190D" w:rsidRPr="00065E63" w:rsidRDefault="0044190D" w:rsidP="002028C8">
            <w:pPr>
              <w:spacing w:line="360" w:lineRule="auto"/>
              <w:jc w:val="both"/>
            </w:pPr>
            <w:r w:rsidRPr="00065E63">
              <w:t>Bilanzsumme in Mio. Euro</w:t>
            </w:r>
          </w:p>
        </w:tc>
        <w:tc>
          <w:tcPr>
            <w:tcW w:w="1558" w:type="dxa"/>
            <w:shd w:val="clear" w:color="auto" w:fill="auto"/>
          </w:tcPr>
          <w:p w14:paraId="2D2E3BC7" w14:textId="77777777" w:rsidR="0044190D" w:rsidRPr="00065E63" w:rsidRDefault="00E84F13" w:rsidP="002028C8">
            <w:pPr>
              <w:spacing w:line="360" w:lineRule="auto"/>
              <w:jc w:val="right"/>
            </w:pPr>
            <w:r w:rsidRPr="00065E63">
              <w:t>3.739</w:t>
            </w:r>
          </w:p>
        </w:tc>
        <w:tc>
          <w:tcPr>
            <w:tcW w:w="1418" w:type="dxa"/>
          </w:tcPr>
          <w:p w14:paraId="61B812E3" w14:textId="77777777" w:rsidR="0044190D" w:rsidRPr="00065E63" w:rsidRDefault="00E84F13" w:rsidP="002028C8">
            <w:pPr>
              <w:spacing w:line="360" w:lineRule="auto"/>
              <w:jc w:val="right"/>
            </w:pPr>
            <w:r w:rsidRPr="00065E63">
              <w:t>3.944</w:t>
            </w:r>
          </w:p>
        </w:tc>
      </w:tr>
      <w:tr w:rsidR="0044190D" w:rsidRPr="00065E63" w14:paraId="6E2BC12A" w14:textId="77777777" w:rsidTr="002028C8">
        <w:tc>
          <w:tcPr>
            <w:tcW w:w="5637" w:type="dxa"/>
            <w:shd w:val="clear" w:color="auto" w:fill="auto"/>
          </w:tcPr>
          <w:p w14:paraId="0186749A" w14:textId="77777777" w:rsidR="0044190D" w:rsidRPr="00065E63" w:rsidRDefault="0044190D" w:rsidP="002028C8">
            <w:pPr>
              <w:spacing w:line="360" w:lineRule="auto"/>
              <w:jc w:val="both"/>
            </w:pPr>
            <w:r w:rsidRPr="00065E63">
              <w:t>Gesamteinlagen in Mio. Euro</w:t>
            </w:r>
          </w:p>
        </w:tc>
        <w:tc>
          <w:tcPr>
            <w:tcW w:w="1558" w:type="dxa"/>
            <w:shd w:val="clear" w:color="auto" w:fill="auto"/>
          </w:tcPr>
          <w:p w14:paraId="1E33DD0A" w14:textId="77777777" w:rsidR="0044190D" w:rsidRPr="00065E63" w:rsidRDefault="00E84F13" w:rsidP="002028C8">
            <w:pPr>
              <w:spacing w:line="360" w:lineRule="auto"/>
              <w:jc w:val="right"/>
            </w:pPr>
            <w:r w:rsidRPr="00065E63">
              <w:t>2.883</w:t>
            </w:r>
          </w:p>
        </w:tc>
        <w:tc>
          <w:tcPr>
            <w:tcW w:w="1418" w:type="dxa"/>
          </w:tcPr>
          <w:p w14:paraId="46B378BD" w14:textId="77777777" w:rsidR="0044190D" w:rsidRPr="00065E63" w:rsidRDefault="00E84F13" w:rsidP="002028C8">
            <w:pPr>
              <w:spacing w:line="360" w:lineRule="auto"/>
              <w:jc w:val="right"/>
            </w:pPr>
            <w:r w:rsidRPr="00065E63">
              <w:t>3.033</w:t>
            </w:r>
          </w:p>
        </w:tc>
      </w:tr>
      <w:tr w:rsidR="0044190D" w:rsidRPr="00065E63" w14:paraId="18CFF362" w14:textId="77777777" w:rsidTr="002028C8">
        <w:tc>
          <w:tcPr>
            <w:tcW w:w="5637" w:type="dxa"/>
            <w:shd w:val="clear" w:color="auto" w:fill="auto"/>
          </w:tcPr>
          <w:p w14:paraId="1F9E49F7" w14:textId="77777777" w:rsidR="0044190D" w:rsidRPr="00065E63" w:rsidRDefault="0044190D" w:rsidP="002028C8">
            <w:pPr>
              <w:spacing w:line="360" w:lineRule="auto"/>
              <w:jc w:val="both"/>
            </w:pPr>
            <w:r w:rsidRPr="00065E63">
              <w:t>Kundenkreditvolumen in Mio. Euro</w:t>
            </w:r>
          </w:p>
        </w:tc>
        <w:tc>
          <w:tcPr>
            <w:tcW w:w="1558" w:type="dxa"/>
            <w:shd w:val="clear" w:color="auto" w:fill="auto"/>
          </w:tcPr>
          <w:p w14:paraId="16885D2D" w14:textId="77777777" w:rsidR="0044190D" w:rsidRPr="00065E63" w:rsidRDefault="0044190D" w:rsidP="00E84F13">
            <w:pPr>
              <w:spacing w:line="360" w:lineRule="auto"/>
              <w:jc w:val="right"/>
            </w:pPr>
            <w:r w:rsidRPr="00065E63">
              <w:t>2.7</w:t>
            </w:r>
            <w:r w:rsidR="00E84F13" w:rsidRPr="00065E63">
              <w:t>19</w:t>
            </w:r>
          </w:p>
        </w:tc>
        <w:tc>
          <w:tcPr>
            <w:tcW w:w="1418" w:type="dxa"/>
          </w:tcPr>
          <w:p w14:paraId="086B5607" w14:textId="77777777" w:rsidR="0044190D" w:rsidRPr="00065E63" w:rsidRDefault="00E84F13" w:rsidP="002028C8">
            <w:pPr>
              <w:spacing w:line="360" w:lineRule="auto"/>
              <w:jc w:val="right"/>
            </w:pPr>
            <w:r w:rsidRPr="00065E63">
              <w:t>2.847</w:t>
            </w:r>
          </w:p>
        </w:tc>
      </w:tr>
      <w:tr w:rsidR="0044190D" w:rsidRPr="00065E63" w14:paraId="1F421D41" w14:textId="77777777" w:rsidTr="002028C8">
        <w:tc>
          <w:tcPr>
            <w:tcW w:w="5637" w:type="dxa"/>
            <w:shd w:val="clear" w:color="auto" w:fill="auto"/>
          </w:tcPr>
          <w:p w14:paraId="7CB8A9D9" w14:textId="77777777" w:rsidR="0044190D" w:rsidRPr="00065E63" w:rsidRDefault="0044190D" w:rsidP="002028C8">
            <w:pPr>
              <w:spacing w:line="360" w:lineRule="auto"/>
              <w:jc w:val="both"/>
            </w:pPr>
            <w:r w:rsidRPr="00065E63">
              <w:t>Gesamtkapitalquote in %</w:t>
            </w:r>
          </w:p>
        </w:tc>
        <w:tc>
          <w:tcPr>
            <w:tcW w:w="1558" w:type="dxa"/>
            <w:shd w:val="clear" w:color="auto" w:fill="auto"/>
          </w:tcPr>
          <w:p w14:paraId="5358F353" w14:textId="77777777" w:rsidR="0044190D" w:rsidRPr="00065E63" w:rsidRDefault="0048792B" w:rsidP="002028C8">
            <w:pPr>
              <w:spacing w:line="360" w:lineRule="auto"/>
              <w:jc w:val="right"/>
            </w:pPr>
            <w:r w:rsidRPr="00065E63">
              <w:t>16,6</w:t>
            </w:r>
          </w:p>
        </w:tc>
        <w:tc>
          <w:tcPr>
            <w:tcW w:w="1418" w:type="dxa"/>
          </w:tcPr>
          <w:p w14:paraId="167B9CFC" w14:textId="77777777" w:rsidR="0044190D" w:rsidRPr="00065E63" w:rsidRDefault="00B540BC" w:rsidP="002028C8">
            <w:pPr>
              <w:spacing w:line="360" w:lineRule="auto"/>
              <w:jc w:val="right"/>
            </w:pPr>
            <w:r w:rsidRPr="00065E63">
              <w:t>16,8</w:t>
            </w:r>
          </w:p>
        </w:tc>
      </w:tr>
      <w:tr w:rsidR="0044190D" w:rsidRPr="003F7AD7" w14:paraId="36C9892F" w14:textId="77777777" w:rsidTr="002028C8">
        <w:tc>
          <w:tcPr>
            <w:tcW w:w="5637" w:type="dxa"/>
            <w:shd w:val="clear" w:color="auto" w:fill="auto"/>
          </w:tcPr>
          <w:p w14:paraId="466918CF" w14:textId="77777777" w:rsidR="0044190D" w:rsidRPr="00065E63" w:rsidRDefault="0044190D" w:rsidP="002028C8">
            <w:pPr>
              <w:spacing w:line="360" w:lineRule="auto"/>
              <w:jc w:val="both"/>
            </w:pPr>
            <w:r w:rsidRPr="00065E63">
              <w:t>Bilanzgewinn in Mio. Euro</w:t>
            </w:r>
          </w:p>
        </w:tc>
        <w:tc>
          <w:tcPr>
            <w:tcW w:w="1558" w:type="dxa"/>
            <w:shd w:val="clear" w:color="auto" w:fill="auto"/>
          </w:tcPr>
          <w:p w14:paraId="48E9A101" w14:textId="77777777" w:rsidR="0044190D" w:rsidRPr="00065E63" w:rsidRDefault="00520089" w:rsidP="002028C8">
            <w:pPr>
              <w:spacing w:line="360" w:lineRule="auto"/>
              <w:jc w:val="right"/>
            </w:pPr>
            <w:r w:rsidRPr="00065E63">
              <w:t>3,5</w:t>
            </w:r>
          </w:p>
        </w:tc>
        <w:tc>
          <w:tcPr>
            <w:tcW w:w="1418" w:type="dxa"/>
          </w:tcPr>
          <w:p w14:paraId="45D27B1B" w14:textId="77777777" w:rsidR="0044190D" w:rsidRPr="003F7AD7" w:rsidRDefault="00B608C3" w:rsidP="002028C8">
            <w:pPr>
              <w:spacing w:line="360" w:lineRule="auto"/>
              <w:jc w:val="right"/>
            </w:pPr>
            <w:r w:rsidRPr="003F7AD7">
              <w:t>3,2</w:t>
            </w:r>
          </w:p>
        </w:tc>
      </w:tr>
      <w:tr w:rsidR="0044190D" w:rsidRPr="00065E63" w14:paraId="7754BCC3" w14:textId="77777777" w:rsidTr="002028C8">
        <w:tc>
          <w:tcPr>
            <w:tcW w:w="5637" w:type="dxa"/>
            <w:shd w:val="clear" w:color="auto" w:fill="auto"/>
          </w:tcPr>
          <w:p w14:paraId="6CA0A9C3" w14:textId="77777777" w:rsidR="0044190D" w:rsidRPr="00065E63" w:rsidRDefault="0044190D" w:rsidP="002028C8">
            <w:pPr>
              <w:spacing w:line="360" w:lineRule="auto"/>
              <w:jc w:val="both"/>
            </w:pPr>
            <w:r w:rsidRPr="00065E63">
              <w:t>Cost-Income-Ratio in %</w:t>
            </w:r>
          </w:p>
        </w:tc>
        <w:tc>
          <w:tcPr>
            <w:tcW w:w="1558" w:type="dxa"/>
            <w:shd w:val="clear" w:color="auto" w:fill="auto"/>
          </w:tcPr>
          <w:p w14:paraId="6A9D87F0" w14:textId="77777777" w:rsidR="0044190D" w:rsidRPr="00065E63" w:rsidRDefault="00520089" w:rsidP="002028C8">
            <w:pPr>
              <w:spacing w:line="360" w:lineRule="auto"/>
              <w:jc w:val="right"/>
            </w:pPr>
            <w:r w:rsidRPr="00065E63">
              <w:t>59,4</w:t>
            </w:r>
          </w:p>
        </w:tc>
        <w:tc>
          <w:tcPr>
            <w:tcW w:w="1418" w:type="dxa"/>
          </w:tcPr>
          <w:p w14:paraId="3874E3D2" w14:textId="77777777" w:rsidR="0044190D" w:rsidRPr="00065E63" w:rsidRDefault="00065E63" w:rsidP="002028C8">
            <w:pPr>
              <w:spacing w:line="360" w:lineRule="auto"/>
              <w:jc w:val="right"/>
            </w:pPr>
            <w:r w:rsidRPr="00065E63">
              <w:t>61,6</w:t>
            </w:r>
          </w:p>
        </w:tc>
      </w:tr>
      <w:tr w:rsidR="0044190D" w:rsidRPr="00065E63" w14:paraId="1EB463A6" w14:textId="77777777" w:rsidTr="002028C8">
        <w:tc>
          <w:tcPr>
            <w:tcW w:w="5637" w:type="dxa"/>
            <w:shd w:val="clear" w:color="auto" w:fill="auto"/>
          </w:tcPr>
          <w:p w14:paraId="08DA7E01" w14:textId="77777777" w:rsidR="0044190D" w:rsidRPr="00065E63" w:rsidRDefault="0044190D" w:rsidP="002028C8">
            <w:pPr>
              <w:spacing w:line="360" w:lineRule="auto"/>
              <w:jc w:val="both"/>
            </w:pPr>
            <w:r w:rsidRPr="00065E63">
              <w:t>Mitarbeiter</w:t>
            </w:r>
          </w:p>
        </w:tc>
        <w:tc>
          <w:tcPr>
            <w:tcW w:w="1558" w:type="dxa"/>
            <w:shd w:val="clear" w:color="auto" w:fill="auto"/>
          </w:tcPr>
          <w:p w14:paraId="412094E6" w14:textId="77777777" w:rsidR="0044190D" w:rsidRPr="00065E63" w:rsidRDefault="00386A04" w:rsidP="002028C8">
            <w:pPr>
              <w:spacing w:line="360" w:lineRule="auto"/>
              <w:jc w:val="right"/>
            </w:pPr>
            <w:r w:rsidRPr="00065E63">
              <w:t>501</w:t>
            </w:r>
          </w:p>
        </w:tc>
        <w:tc>
          <w:tcPr>
            <w:tcW w:w="1418" w:type="dxa"/>
          </w:tcPr>
          <w:p w14:paraId="19FD1FA9" w14:textId="77777777" w:rsidR="0044190D" w:rsidRPr="00065E63" w:rsidRDefault="00386A04" w:rsidP="002028C8">
            <w:pPr>
              <w:spacing w:line="360" w:lineRule="auto"/>
              <w:jc w:val="right"/>
            </w:pPr>
            <w:r w:rsidRPr="00065E63">
              <w:t>489</w:t>
            </w:r>
          </w:p>
        </w:tc>
      </w:tr>
      <w:tr w:rsidR="0044190D" w:rsidRPr="0077317E" w14:paraId="36BEBDB1" w14:textId="77777777" w:rsidTr="002028C8">
        <w:tc>
          <w:tcPr>
            <w:tcW w:w="5637" w:type="dxa"/>
            <w:shd w:val="clear" w:color="auto" w:fill="auto"/>
          </w:tcPr>
          <w:p w14:paraId="095F9533" w14:textId="77777777" w:rsidR="0044190D" w:rsidRPr="00065E63" w:rsidRDefault="0044190D" w:rsidP="002028C8">
            <w:pPr>
              <w:spacing w:line="360" w:lineRule="auto"/>
              <w:jc w:val="both"/>
            </w:pPr>
            <w:r w:rsidRPr="00065E63">
              <w:t>Geschäftsstellen</w:t>
            </w:r>
          </w:p>
        </w:tc>
        <w:tc>
          <w:tcPr>
            <w:tcW w:w="1558" w:type="dxa"/>
            <w:shd w:val="clear" w:color="auto" w:fill="auto"/>
          </w:tcPr>
          <w:p w14:paraId="32EB7A5A" w14:textId="77777777" w:rsidR="0044190D" w:rsidRPr="00065E63" w:rsidRDefault="00B21B00" w:rsidP="002028C8">
            <w:pPr>
              <w:spacing w:line="360" w:lineRule="auto"/>
              <w:jc w:val="right"/>
            </w:pPr>
            <w:r w:rsidRPr="00065E63">
              <w:t>18</w:t>
            </w:r>
          </w:p>
        </w:tc>
        <w:tc>
          <w:tcPr>
            <w:tcW w:w="1418" w:type="dxa"/>
          </w:tcPr>
          <w:p w14:paraId="0EC1AAB6" w14:textId="77777777" w:rsidR="0044190D" w:rsidRPr="00065E63" w:rsidRDefault="00B21B00" w:rsidP="002028C8">
            <w:pPr>
              <w:spacing w:line="360" w:lineRule="auto"/>
              <w:jc w:val="right"/>
            </w:pPr>
            <w:r w:rsidRPr="00065E63">
              <w:t>18</w:t>
            </w:r>
          </w:p>
        </w:tc>
      </w:tr>
    </w:tbl>
    <w:p w14:paraId="26005D4B" w14:textId="77777777" w:rsidR="00C04AC0" w:rsidRDefault="0044190D" w:rsidP="0044190D">
      <w:pPr>
        <w:spacing w:line="360" w:lineRule="auto"/>
      </w:pPr>
      <w:r w:rsidRPr="0077317E">
        <w:lastRenderedPageBreak/>
        <w:t>Quelle: Bilanzstatistik</w:t>
      </w:r>
    </w:p>
    <w:p w14:paraId="022714F2" w14:textId="77777777" w:rsidR="00C04AC0" w:rsidRDefault="00C04AC0" w:rsidP="0044190D">
      <w:pPr>
        <w:spacing w:line="360" w:lineRule="auto"/>
      </w:pPr>
    </w:p>
    <w:p w14:paraId="43AB9FF8" w14:textId="77777777" w:rsidR="00C04AC0" w:rsidRDefault="00C04AC0" w:rsidP="0044190D">
      <w:pPr>
        <w:spacing w:line="360" w:lineRule="auto"/>
        <w:rPr>
          <w:strike/>
        </w:rPr>
      </w:pPr>
      <w:r>
        <w:rPr>
          <w:noProof/>
        </w:rPr>
        <w:drawing>
          <wp:inline distT="0" distB="0" distL="0" distR="0" wp14:anchorId="4A209706" wp14:editId="5B07771D">
            <wp:extent cx="4175760" cy="2782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5760" cy="2782570"/>
                    </a:xfrm>
                    <a:prstGeom prst="rect">
                      <a:avLst/>
                    </a:prstGeom>
                  </pic:spPr>
                </pic:pic>
              </a:graphicData>
            </a:graphic>
          </wp:inline>
        </w:drawing>
      </w:r>
    </w:p>
    <w:p w14:paraId="72939530" w14:textId="127B22F0" w:rsidR="00C04AC0" w:rsidRDefault="00C04AC0" w:rsidP="0044190D">
      <w:pPr>
        <w:spacing w:line="360" w:lineRule="auto"/>
        <w:rPr>
          <w:sz w:val="17"/>
          <w:szCs w:val="17"/>
        </w:rPr>
      </w:pPr>
      <w:r w:rsidRPr="00C04AC0">
        <w:rPr>
          <w:b/>
          <w:bCs/>
          <w:sz w:val="17"/>
          <w:szCs w:val="17"/>
        </w:rPr>
        <w:t xml:space="preserve">Bildunterschrift: </w:t>
      </w:r>
      <w:r w:rsidRPr="00C04AC0">
        <w:rPr>
          <w:b/>
          <w:bCs/>
          <w:sz w:val="17"/>
          <w:szCs w:val="17"/>
        </w:rPr>
        <w:br/>
      </w:r>
      <w:r w:rsidRPr="00C04AC0">
        <w:rPr>
          <w:sz w:val="17"/>
          <w:szCs w:val="17"/>
        </w:rPr>
        <w:t>Der Vorstand der Kreissparkasse Augsburg. Von links nach rechts: Horst Schönfeld, Richard Fank, Dr. Wolfgang Zettl.</w:t>
      </w:r>
    </w:p>
    <w:p w14:paraId="18F7FBD3" w14:textId="0C460B81" w:rsidR="00C04AC0" w:rsidRPr="00C04AC0" w:rsidRDefault="00C04AC0" w:rsidP="0044190D">
      <w:pPr>
        <w:spacing w:line="360" w:lineRule="auto"/>
        <w:rPr>
          <w:sz w:val="17"/>
          <w:szCs w:val="17"/>
        </w:rPr>
      </w:pPr>
      <w:r w:rsidRPr="003F7AD7">
        <w:rPr>
          <w:b/>
          <w:bCs/>
          <w:sz w:val="17"/>
          <w:szCs w:val="17"/>
        </w:rPr>
        <w:t xml:space="preserve">Bildrechte: </w:t>
      </w:r>
      <w:r w:rsidR="003F7AD7" w:rsidRPr="003F7AD7">
        <w:rPr>
          <w:b/>
          <w:bCs/>
          <w:sz w:val="17"/>
          <w:szCs w:val="17"/>
        </w:rPr>
        <w:br/>
      </w:r>
      <w:r>
        <w:rPr>
          <w:sz w:val="17"/>
          <w:szCs w:val="17"/>
        </w:rPr>
        <w:t>Kreissparkasse Augsburg</w:t>
      </w:r>
    </w:p>
    <w:p w14:paraId="0C8B3B41" w14:textId="77777777" w:rsidR="00366A79" w:rsidRDefault="00366A79" w:rsidP="00366A79">
      <w:pPr>
        <w:spacing w:line="240" w:lineRule="auto"/>
        <w:rPr>
          <w:rFonts w:eastAsia="MS Mincho"/>
          <w:sz w:val="17"/>
          <w:szCs w:val="17"/>
        </w:rPr>
      </w:pPr>
      <w:r>
        <w:rPr>
          <w:rFonts w:eastAsia="MS Mincho"/>
          <w:b/>
          <w:bCs/>
          <w:sz w:val="17"/>
          <w:szCs w:val="17"/>
        </w:rPr>
        <w:t xml:space="preserve">Über die Kreissparkasse Augsburg: </w:t>
      </w:r>
      <w:r>
        <w:rPr>
          <w:rFonts w:eastAsia="MS Mincho"/>
          <w:b/>
          <w:bCs/>
          <w:sz w:val="17"/>
          <w:szCs w:val="17"/>
        </w:rPr>
        <w:br/>
      </w:r>
      <w:r>
        <w:rPr>
          <w:rFonts w:eastAsia="MS Mincho"/>
          <w:sz w:val="17"/>
          <w:szCs w:val="17"/>
        </w:rPr>
        <w:b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165 Jahren für Vertrauen sowie Qualität in Beratung und Service. </w:t>
      </w:r>
    </w:p>
    <w:p w14:paraId="546CF3DF" w14:textId="77777777" w:rsidR="00366A79" w:rsidRDefault="00366A79" w:rsidP="00366A79">
      <w:pPr>
        <w:spacing w:line="240" w:lineRule="auto"/>
        <w:rPr>
          <w:rFonts w:eastAsia="MS Mincho"/>
          <w:sz w:val="17"/>
          <w:szCs w:val="17"/>
        </w:rPr>
      </w:pPr>
      <w:r>
        <w:rPr>
          <w:rFonts w:eastAsia="MS Mincho"/>
          <w:sz w:val="17"/>
          <w:szCs w:val="17"/>
        </w:rPr>
        <w:t xml:space="preserve">Mit einer Bilanzsumme von 3,9 Milliarden Euro und 489 Beschäftigten (per 31.12.2020)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w:t>
      </w:r>
      <w:r>
        <w:rPr>
          <w:rFonts w:eastAsia="MS Mincho"/>
          <w:sz w:val="17"/>
          <w:szCs w:val="17"/>
        </w:rPr>
        <w:lastRenderedPageBreak/>
        <w:t xml:space="preserve">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ehrenamtlichem Engagement. </w:t>
      </w:r>
    </w:p>
    <w:p w14:paraId="72D481E2" w14:textId="77777777" w:rsidR="00366A79" w:rsidRDefault="00366A79" w:rsidP="00366A79">
      <w:pPr>
        <w:spacing w:line="240" w:lineRule="auto"/>
        <w:contextualSpacing/>
        <w:rPr>
          <w:rFonts w:eastAsia="MS Mincho"/>
          <w:b/>
          <w:bCs/>
          <w:sz w:val="17"/>
          <w:szCs w:val="17"/>
        </w:rPr>
      </w:pPr>
      <w:r>
        <w:rPr>
          <w:rFonts w:eastAsia="MS Mincho"/>
          <w:b/>
          <w:bCs/>
          <w:sz w:val="17"/>
          <w:szCs w:val="17"/>
        </w:rPr>
        <w:t xml:space="preserve">Unternehmenskontakt: </w:t>
      </w:r>
    </w:p>
    <w:p w14:paraId="5D87AD11" w14:textId="77777777" w:rsidR="00366A79" w:rsidRDefault="00366A79" w:rsidP="00366A79">
      <w:pPr>
        <w:spacing w:line="240" w:lineRule="auto"/>
        <w:contextualSpacing/>
        <w:rPr>
          <w:rFonts w:eastAsia="MS Mincho"/>
          <w:sz w:val="17"/>
          <w:szCs w:val="17"/>
        </w:rPr>
      </w:pPr>
    </w:p>
    <w:p w14:paraId="390749A8" w14:textId="77777777" w:rsidR="00366A79" w:rsidRDefault="00366A79" w:rsidP="00366A79">
      <w:pPr>
        <w:spacing w:line="240" w:lineRule="auto"/>
        <w:contextualSpacing/>
        <w:rPr>
          <w:rFonts w:eastAsia="MS Mincho"/>
          <w:sz w:val="17"/>
          <w:szCs w:val="17"/>
        </w:rPr>
      </w:pPr>
      <w:r>
        <w:rPr>
          <w:rFonts w:eastAsia="MS Mincho"/>
          <w:sz w:val="17"/>
          <w:szCs w:val="17"/>
        </w:rPr>
        <w:t>Kreissparkasse Augsburg</w:t>
      </w:r>
    </w:p>
    <w:p w14:paraId="67A17BC2" w14:textId="77777777" w:rsidR="00366A79" w:rsidRDefault="00366A79" w:rsidP="00366A79">
      <w:pPr>
        <w:spacing w:line="240" w:lineRule="auto"/>
        <w:contextualSpacing/>
        <w:rPr>
          <w:rFonts w:eastAsia="MS Mincho"/>
          <w:sz w:val="17"/>
          <w:szCs w:val="17"/>
        </w:rPr>
      </w:pPr>
      <w:r>
        <w:rPr>
          <w:rFonts w:eastAsia="MS Mincho"/>
          <w:sz w:val="17"/>
          <w:szCs w:val="17"/>
        </w:rPr>
        <w:t xml:space="preserve">Markus Pfeffinger </w:t>
      </w:r>
    </w:p>
    <w:p w14:paraId="3915B77D" w14:textId="77777777" w:rsidR="00366A79" w:rsidRDefault="00366A79" w:rsidP="00366A79">
      <w:pPr>
        <w:spacing w:line="240" w:lineRule="auto"/>
        <w:contextualSpacing/>
        <w:rPr>
          <w:rFonts w:eastAsia="MS Mincho"/>
          <w:sz w:val="17"/>
          <w:szCs w:val="17"/>
        </w:rPr>
      </w:pPr>
      <w:r>
        <w:rPr>
          <w:rFonts w:eastAsia="MS Mincho"/>
          <w:sz w:val="17"/>
          <w:szCs w:val="17"/>
        </w:rPr>
        <w:t>Martin-Luther-Platz 5</w:t>
      </w:r>
    </w:p>
    <w:p w14:paraId="112D1379" w14:textId="77777777" w:rsidR="00366A79" w:rsidRDefault="00366A79" w:rsidP="00366A79">
      <w:pPr>
        <w:spacing w:line="240" w:lineRule="auto"/>
        <w:contextualSpacing/>
        <w:rPr>
          <w:rFonts w:eastAsia="MS Mincho"/>
          <w:sz w:val="17"/>
          <w:szCs w:val="17"/>
        </w:rPr>
      </w:pPr>
      <w:r>
        <w:rPr>
          <w:rFonts w:eastAsia="MS Mincho"/>
          <w:sz w:val="17"/>
          <w:szCs w:val="17"/>
        </w:rPr>
        <w:t>86150 Augsburg</w:t>
      </w:r>
    </w:p>
    <w:p w14:paraId="0950D35D" w14:textId="77777777" w:rsidR="00366A79" w:rsidRDefault="00366A79" w:rsidP="00366A79">
      <w:pPr>
        <w:spacing w:line="240" w:lineRule="auto"/>
        <w:contextualSpacing/>
        <w:rPr>
          <w:rFonts w:eastAsia="MS Mincho"/>
          <w:sz w:val="17"/>
          <w:szCs w:val="17"/>
        </w:rPr>
      </w:pPr>
    </w:p>
    <w:p w14:paraId="7CC9586B" w14:textId="77777777" w:rsidR="00366A79" w:rsidRDefault="00366A79" w:rsidP="00366A79">
      <w:pPr>
        <w:spacing w:line="240" w:lineRule="auto"/>
        <w:contextualSpacing/>
        <w:rPr>
          <w:rFonts w:eastAsia="MS Mincho"/>
          <w:sz w:val="17"/>
          <w:szCs w:val="17"/>
        </w:rPr>
      </w:pPr>
      <w:r>
        <w:rPr>
          <w:rFonts w:eastAsia="MS Mincho"/>
          <w:sz w:val="17"/>
          <w:szCs w:val="17"/>
        </w:rPr>
        <w:t xml:space="preserve">Telefon: (08 21) </w:t>
      </w:r>
      <w:r>
        <w:rPr>
          <w:rFonts w:cs="Arial"/>
          <w:sz w:val="17"/>
          <w:szCs w:val="17"/>
        </w:rPr>
        <w:t>32 51-41 48 8</w:t>
      </w:r>
    </w:p>
    <w:p w14:paraId="53520591" w14:textId="77777777" w:rsidR="00366A79" w:rsidRDefault="00366A79" w:rsidP="00366A79">
      <w:pPr>
        <w:spacing w:line="240" w:lineRule="auto"/>
        <w:contextualSpacing/>
        <w:rPr>
          <w:rFonts w:eastAsia="MS Mincho"/>
          <w:sz w:val="17"/>
          <w:szCs w:val="17"/>
        </w:rPr>
      </w:pPr>
      <w:r>
        <w:rPr>
          <w:rFonts w:eastAsia="MS Mincho"/>
          <w:sz w:val="17"/>
          <w:szCs w:val="17"/>
        </w:rPr>
        <w:t>Telefax: (08 21) 32 51-34 20 07</w:t>
      </w:r>
    </w:p>
    <w:p w14:paraId="0CAC7FE5" w14:textId="77777777" w:rsidR="00366A79" w:rsidRDefault="00366A79" w:rsidP="00366A79">
      <w:pPr>
        <w:spacing w:line="240" w:lineRule="auto"/>
        <w:rPr>
          <w:rFonts w:eastAsia="MS Mincho"/>
          <w:sz w:val="17"/>
          <w:szCs w:val="17"/>
        </w:rPr>
      </w:pPr>
      <w:r>
        <w:rPr>
          <w:rFonts w:eastAsia="MS Mincho"/>
          <w:sz w:val="17"/>
          <w:szCs w:val="17"/>
        </w:rPr>
        <w:t>E-Mail: ksk@epr-online.de</w:t>
      </w:r>
    </w:p>
    <w:p w14:paraId="3119B3B6"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42101679" w14:textId="77777777" w:rsidR="00626932" w:rsidRPr="007D6215" w:rsidRDefault="00626932" w:rsidP="00626932">
      <w:pPr>
        <w:spacing w:line="240" w:lineRule="auto"/>
        <w:contextualSpacing/>
        <w:rPr>
          <w:rFonts w:eastAsia="MS Mincho"/>
          <w:b/>
          <w:bCs/>
          <w:sz w:val="17"/>
          <w:szCs w:val="17"/>
        </w:rPr>
      </w:pPr>
    </w:p>
    <w:p w14:paraId="7E3AF32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68E044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014779D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2E1A7A6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48D6DC4C" w14:textId="77777777" w:rsidR="00626932" w:rsidRPr="008B2282" w:rsidRDefault="00626932" w:rsidP="00626932">
      <w:pPr>
        <w:spacing w:line="240" w:lineRule="auto"/>
        <w:contextualSpacing/>
        <w:rPr>
          <w:rFonts w:eastAsia="MS Mincho"/>
          <w:sz w:val="17"/>
          <w:szCs w:val="17"/>
        </w:rPr>
      </w:pPr>
    </w:p>
    <w:p w14:paraId="75CE1FE4"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7FAA72E6"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4906D22C"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25B9BC20"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1BAD" w14:textId="77777777" w:rsidR="00984DAF" w:rsidRDefault="00984DAF" w:rsidP="00E75A06">
      <w:pPr>
        <w:spacing w:after="0" w:line="240" w:lineRule="auto"/>
      </w:pPr>
      <w:r>
        <w:separator/>
      </w:r>
    </w:p>
  </w:endnote>
  <w:endnote w:type="continuationSeparator" w:id="0">
    <w:p w14:paraId="2F4C33A1" w14:textId="77777777" w:rsidR="00984DAF" w:rsidRDefault="00984DAF"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B06A" w14:textId="77777777" w:rsidR="00984DAF" w:rsidRDefault="00984DAF" w:rsidP="00E75A06">
      <w:pPr>
        <w:spacing w:after="0" w:line="240" w:lineRule="auto"/>
      </w:pPr>
      <w:r>
        <w:separator/>
      </w:r>
    </w:p>
  </w:footnote>
  <w:footnote w:type="continuationSeparator" w:id="0">
    <w:p w14:paraId="0AB53D69" w14:textId="77777777" w:rsidR="00984DAF" w:rsidRDefault="00984DAF"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51C9"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E198B3B" wp14:editId="64FF4F37">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18061" w14:textId="77777777" w:rsidR="00E75A06" w:rsidRDefault="00E75A06">
    <w:pPr>
      <w:pStyle w:val="Kopfzeile"/>
    </w:pPr>
  </w:p>
  <w:p w14:paraId="42170CD0" w14:textId="77777777" w:rsidR="00E75A06" w:rsidRDefault="00E75A06">
    <w:pPr>
      <w:pStyle w:val="Kopfzeile"/>
    </w:pPr>
  </w:p>
  <w:p w14:paraId="09535FE8" w14:textId="77777777" w:rsidR="00E75A06" w:rsidRDefault="00E75A06">
    <w:pPr>
      <w:pStyle w:val="Kopfzeile"/>
    </w:pPr>
  </w:p>
  <w:p w14:paraId="5E9300AD" w14:textId="77777777" w:rsidR="00E75A06" w:rsidRDefault="00E75A06">
    <w:pPr>
      <w:pStyle w:val="Kopfzeile"/>
    </w:pPr>
  </w:p>
  <w:p w14:paraId="488DCBEE"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0298E"/>
    <w:rsid w:val="00004042"/>
    <w:rsid w:val="00007DB4"/>
    <w:rsid w:val="00043B16"/>
    <w:rsid w:val="00065E63"/>
    <w:rsid w:val="00080FFF"/>
    <w:rsid w:val="000A09AF"/>
    <w:rsid w:val="000B7667"/>
    <w:rsid w:val="000D400E"/>
    <w:rsid w:val="000E5377"/>
    <w:rsid w:val="00121DB5"/>
    <w:rsid w:val="00146A8D"/>
    <w:rsid w:val="0016324D"/>
    <w:rsid w:val="001649DB"/>
    <w:rsid w:val="001E1635"/>
    <w:rsid w:val="001E3346"/>
    <w:rsid w:val="00251A8F"/>
    <w:rsid w:val="002B41FE"/>
    <w:rsid w:val="002C2F97"/>
    <w:rsid w:val="00312558"/>
    <w:rsid w:val="00312A49"/>
    <w:rsid w:val="00366A79"/>
    <w:rsid w:val="00370BFC"/>
    <w:rsid w:val="00386A04"/>
    <w:rsid w:val="00391B40"/>
    <w:rsid w:val="003B46FF"/>
    <w:rsid w:val="003E14BE"/>
    <w:rsid w:val="003F7AD7"/>
    <w:rsid w:val="00440650"/>
    <w:rsid w:val="0044190D"/>
    <w:rsid w:val="00452705"/>
    <w:rsid w:val="00456CBD"/>
    <w:rsid w:val="0048792B"/>
    <w:rsid w:val="00493AB1"/>
    <w:rsid w:val="004B1665"/>
    <w:rsid w:val="004D1B71"/>
    <w:rsid w:val="00505FB0"/>
    <w:rsid w:val="005114C7"/>
    <w:rsid w:val="00520089"/>
    <w:rsid w:val="00542541"/>
    <w:rsid w:val="00557E8C"/>
    <w:rsid w:val="00592076"/>
    <w:rsid w:val="00623208"/>
    <w:rsid w:val="00626932"/>
    <w:rsid w:val="00634E84"/>
    <w:rsid w:val="00662B26"/>
    <w:rsid w:val="006713EA"/>
    <w:rsid w:val="00715442"/>
    <w:rsid w:val="007366D8"/>
    <w:rsid w:val="007560B0"/>
    <w:rsid w:val="007611FB"/>
    <w:rsid w:val="007C1BF8"/>
    <w:rsid w:val="007C4B53"/>
    <w:rsid w:val="007D6215"/>
    <w:rsid w:val="00812F44"/>
    <w:rsid w:val="00866AF0"/>
    <w:rsid w:val="008911FA"/>
    <w:rsid w:val="008A5633"/>
    <w:rsid w:val="008B20EE"/>
    <w:rsid w:val="008D0C0C"/>
    <w:rsid w:val="008E4CF0"/>
    <w:rsid w:val="00903803"/>
    <w:rsid w:val="00931981"/>
    <w:rsid w:val="00942A48"/>
    <w:rsid w:val="009822B5"/>
    <w:rsid w:val="00983BFB"/>
    <w:rsid w:val="00984DAF"/>
    <w:rsid w:val="009857DC"/>
    <w:rsid w:val="00994587"/>
    <w:rsid w:val="00A84015"/>
    <w:rsid w:val="00AA2257"/>
    <w:rsid w:val="00AD5368"/>
    <w:rsid w:val="00B21B00"/>
    <w:rsid w:val="00B27C3E"/>
    <w:rsid w:val="00B452D7"/>
    <w:rsid w:val="00B540BC"/>
    <w:rsid w:val="00B60149"/>
    <w:rsid w:val="00B608C3"/>
    <w:rsid w:val="00B6374D"/>
    <w:rsid w:val="00B8006A"/>
    <w:rsid w:val="00B9207C"/>
    <w:rsid w:val="00BF322C"/>
    <w:rsid w:val="00C04799"/>
    <w:rsid w:val="00C04AC0"/>
    <w:rsid w:val="00C15172"/>
    <w:rsid w:val="00C34E7D"/>
    <w:rsid w:val="00C84522"/>
    <w:rsid w:val="00C86F44"/>
    <w:rsid w:val="00C910F9"/>
    <w:rsid w:val="00CA23A6"/>
    <w:rsid w:val="00CD2321"/>
    <w:rsid w:val="00CF6364"/>
    <w:rsid w:val="00D1163B"/>
    <w:rsid w:val="00D211C9"/>
    <w:rsid w:val="00D25FE8"/>
    <w:rsid w:val="00D533DF"/>
    <w:rsid w:val="00D7121D"/>
    <w:rsid w:val="00D76970"/>
    <w:rsid w:val="00D93033"/>
    <w:rsid w:val="00DB0605"/>
    <w:rsid w:val="00E02B59"/>
    <w:rsid w:val="00E240BD"/>
    <w:rsid w:val="00E3601B"/>
    <w:rsid w:val="00E75A06"/>
    <w:rsid w:val="00E84F13"/>
    <w:rsid w:val="00E87041"/>
    <w:rsid w:val="00E94AA9"/>
    <w:rsid w:val="00EB4236"/>
    <w:rsid w:val="00EB6CC8"/>
    <w:rsid w:val="00EC4210"/>
    <w:rsid w:val="00EF0175"/>
    <w:rsid w:val="00F22254"/>
    <w:rsid w:val="00F23B52"/>
    <w:rsid w:val="00F3358D"/>
    <w:rsid w:val="00F36CA1"/>
    <w:rsid w:val="00F549B3"/>
    <w:rsid w:val="00F7114B"/>
    <w:rsid w:val="00F9224D"/>
    <w:rsid w:val="00F93F21"/>
    <w:rsid w:val="00FA6532"/>
    <w:rsid w:val="00FB122E"/>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A7F6AE"/>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05FB0"/>
    <w:rPr>
      <w:sz w:val="16"/>
      <w:szCs w:val="16"/>
    </w:rPr>
  </w:style>
  <w:style w:type="paragraph" w:styleId="Kommentartext">
    <w:name w:val="annotation text"/>
    <w:basedOn w:val="Standard"/>
    <w:link w:val="KommentartextZchn"/>
    <w:uiPriority w:val="99"/>
    <w:semiHidden/>
    <w:unhideWhenUsed/>
    <w:rsid w:val="00505FB0"/>
    <w:pPr>
      <w:spacing w:line="240" w:lineRule="auto"/>
    </w:pPr>
    <w:rPr>
      <w:sz w:val="20"/>
    </w:rPr>
  </w:style>
  <w:style w:type="character" w:customStyle="1" w:styleId="KommentartextZchn">
    <w:name w:val="Kommentartext Zchn"/>
    <w:basedOn w:val="Absatz-Standardschriftart"/>
    <w:link w:val="Kommentartext"/>
    <w:uiPriority w:val="99"/>
    <w:semiHidden/>
    <w:rsid w:val="00505FB0"/>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05FB0"/>
    <w:rPr>
      <w:b/>
      <w:bCs/>
    </w:rPr>
  </w:style>
  <w:style w:type="character" w:customStyle="1" w:styleId="KommentarthemaZchn">
    <w:name w:val="Kommentarthema Zchn"/>
    <w:basedOn w:val="KommentartextZchn"/>
    <w:link w:val="Kommentarthema"/>
    <w:uiPriority w:val="99"/>
    <w:semiHidden/>
    <w:rsid w:val="00505FB0"/>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2395">
      <w:bodyDiv w:val="1"/>
      <w:marLeft w:val="0"/>
      <w:marRight w:val="0"/>
      <w:marTop w:val="0"/>
      <w:marBottom w:val="0"/>
      <w:divBdr>
        <w:top w:val="none" w:sz="0" w:space="0" w:color="auto"/>
        <w:left w:val="none" w:sz="0" w:space="0" w:color="auto"/>
        <w:bottom w:val="none" w:sz="0" w:space="0" w:color="auto"/>
        <w:right w:val="none" w:sz="0" w:space="0" w:color="auto"/>
      </w:divBdr>
    </w:div>
    <w:div w:id="1706980642">
      <w:bodyDiv w:val="1"/>
      <w:marLeft w:val="0"/>
      <w:marRight w:val="0"/>
      <w:marTop w:val="0"/>
      <w:marBottom w:val="0"/>
      <w:divBdr>
        <w:top w:val="none" w:sz="0" w:space="0" w:color="auto"/>
        <w:left w:val="none" w:sz="0" w:space="0" w:color="auto"/>
        <w:bottom w:val="none" w:sz="0" w:space="0" w:color="auto"/>
        <w:right w:val="none" w:sz="0" w:space="0" w:color="auto"/>
      </w:divBdr>
    </w:div>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97E7E3E6E5B43A4DEE931DB5AE8AE" ma:contentTypeVersion="12" ma:contentTypeDescription="Create a new document." ma:contentTypeScope="" ma:versionID="4cac45616a0b9ee5e323aa0f68004cc3">
  <xsd:schema xmlns:xsd="http://www.w3.org/2001/XMLSchema" xmlns:xs="http://www.w3.org/2001/XMLSchema" xmlns:p="http://schemas.microsoft.com/office/2006/metadata/properties" xmlns:ns3="8bed35c0-610e-4dad-b9ac-17f5b3f0697a" xmlns:ns4="de7f3640-4f1d-411b-b61c-80df557a6730" targetNamespace="http://schemas.microsoft.com/office/2006/metadata/properties" ma:root="true" ma:fieldsID="3b8ad5a80db1b875aa98542ba272f9d1" ns3:_="" ns4:_="">
    <xsd:import namespace="8bed35c0-610e-4dad-b9ac-17f5b3f0697a"/>
    <xsd:import namespace="de7f3640-4f1d-411b-b61c-80df557a67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d35c0-610e-4dad-b9ac-17f5b3f069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f3640-4f1d-411b-b61c-80df557a67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715F-5B1C-4ACD-B48E-00D17219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d35c0-610e-4dad-b9ac-17f5b3f0697a"/>
    <ds:schemaRef ds:uri="de7f3640-4f1d-411b-b61c-80df557a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3A0EA-A2C5-43BA-907D-D1A9A31A9CFE}">
  <ds:schemaRefs>
    <ds:schemaRef ds:uri="http://schemas.microsoft.com/sharepoint/v3/contenttype/forms"/>
  </ds:schemaRefs>
</ds:datastoreItem>
</file>

<file path=customXml/itemProps3.xml><?xml version="1.0" encoding="utf-8"?>
<ds:datastoreItem xmlns:ds="http://schemas.openxmlformats.org/officeDocument/2006/customXml" ds:itemID="{BAB1EF12-2105-4BD4-9F98-3130E31F8AEE}">
  <ds:schemaRefs>
    <ds:schemaRef ds:uri="http://purl.org/dc/terms/"/>
    <ds:schemaRef ds:uri="de7f3640-4f1d-411b-b61c-80df557a6730"/>
    <ds:schemaRef ds:uri="http://purl.org/dc/dcmitype/"/>
    <ds:schemaRef ds:uri="8bed35c0-610e-4dad-b9ac-17f5b3f0697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EE8128A-63D0-4733-A41E-B3FCEB6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6</cp:revision>
  <dcterms:created xsi:type="dcterms:W3CDTF">2021-03-02T14:19:00Z</dcterms:created>
  <dcterms:modified xsi:type="dcterms:W3CDTF">2021-03-03T08:05:00Z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0x01010024297E7E3E6E5B43A4DEE931DB5AE8AE</vt:lpwstr>
  </property>
</Properties>
</file>