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0F4E1" w14:textId="77777777" w:rsidR="00986D29" w:rsidRDefault="00986D29" w:rsidP="0047393B">
      <w:pPr>
        <w:spacing w:line="360" w:lineRule="auto"/>
        <w:rPr>
          <w:b/>
          <w:bCs/>
          <w:u w:val="single"/>
        </w:rPr>
      </w:pPr>
    </w:p>
    <w:p w14:paraId="5D7F33ED" w14:textId="30D6AA77" w:rsidR="00986D29" w:rsidRPr="000D5A80" w:rsidRDefault="00986D29" w:rsidP="00986D29">
      <w:pPr>
        <w:spacing w:line="360" w:lineRule="auto"/>
        <w:jc w:val="right"/>
        <w:rPr>
          <w:b/>
          <w:bCs/>
          <w:u w:val="single"/>
          <w:lang w:val="en-US"/>
        </w:rPr>
      </w:pPr>
      <w:r w:rsidRPr="000D5A80">
        <w:rPr>
          <w:rFonts w:ascii="Verdana" w:hAnsi="Verdana" w:cs="Verdana"/>
          <w:color w:val="808080"/>
          <w:sz w:val="20"/>
          <w:szCs w:val="20"/>
          <w:lang w:val="en-US"/>
        </w:rPr>
        <w:t>Press</w:t>
      </w:r>
      <w:r w:rsidR="00CD30E3" w:rsidRPr="000D5A80">
        <w:rPr>
          <w:rFonts w:ascii="Verdana" w:hAnsi="Verdana" w:cs="Verdana"/>
          <w:color w:val="808080"/>
          <w:sz w:val="20"/>
          <w:szCs w:val="20"/>
          <w:lang w:val="en-US"/>
        </w:rPr>
        <w:t xml:space="preserve"> release</w:t>
      </w:r>
    </w:p>
    <w:p w14:paraId="4BE15991" w14:textId="2C6631B3" w:rsidR="00EB7D9B" w:rsidRPr="00EB7D9B" w:rsidRDefault="00986D29" w:rsidP="00E843AA">
      <w:pPr>
        <w:spacing w:after="0" w:line="240" w:lineRule="auto"/>
        <w:rPr>
          <w:rFonts w:cs="Times New Roman"/>
          <w:b/>
          <w:bCs/>
          <w:u w:val="single"/>
          <w:lang w:val="en-US"/>
        </w:rPr>
      </w:pPr>
      <w:r w:rsidRPr="00CD30E3">
        <w:rPr>
          <w:b/>
          <w:bCs/>
          <w:u w:val="single"/>
          <w:lang w:val="en-US"/>
        </w:rPr>
        <w:br/>
      </w:r>
      <w:r w:rsidR="00EB7D9B" w:rsidRPr="00EB7D9B">
        <w:rPr>
          <w:rFonts w:cs="Times New Roman"/>
          <w:b/>
          <w:bCs/>
          <w:u w:val="single"/>
          <w:lang w:val="en-US"/>
        </w:rPr>
        <w:t xml:space="preserve">Cable, connector and network experts present solutions for stable and future-proof networks in </w:t>
      </w:r>
      <w:r w:rsidR="00EB7D9B">
        <w:rPr>
          <w:rFonts w:cs="Times New Roman"/>
          <w:b/>
          <w:bCs/>
          <w:u w:val="single"/>
          <w:lang w:val="en-US"/>
        </w:rPr>
        <w:t>online seminar</w:t>
      </w:r>
    </w:p>
    <w:p w14:paraId="0CA2C87C" w14:textId="77777777" w:rsidR="00E843AA" w:rsidRPr="00EB7D9B" w:rsidRDefault="00E843AA" w:rsidP="00E843AA">
      <w:pPr>
        <w:spacing w:after="0" w:line="240" w:lineRule="auto"/>
        <w:rPr>
          <w:rFonts w:cs="Times New Roman"/>
          <w:sz w:val="24"/>
          <w:szCs w:val="24"/>
          <w:lang w:val="en-US"/>
        </w:rPr>
      </w:pPr>
    </w:p>
    <w:p w14:paraId="37369F27" w14:textId="1E2672CC" w:rsidR="00CD30E3" w:rsidRPr="00CD30E3" w:rsidRDefault="00CD30E3" w:rsidP="00E843AA">
      <w:pPr>
        <w:spacing w:after="0" w:line="240" w:lineRule="auto"/>
        <w:rPr>
          <w:rFonts w:cs="Times New Roman"/>
          <w:b/>
          <w:bCs/>
          <w:sz w:val="32"/>
          <w:szCs w:val="32"/>
          <w:lang w:val="en-US"/>
        </w:rPr>
      </w:pPr>
      <w:r w:rsidRPr="00CD30E3">
        <w:rPr>
          <w:rFonts w:cs="Times New Roman"/>
          <w:b/>
          <w:bCs/>
          <w:sz w:val="32"/>
          <w:szCs w:val="32"/>
          <w:lang w:val="en-US"/>
        </w:rPr>
        <w:t xml:space="preserve">Ready for the terabit age: tde, Senko and Prysmian Group </w:t>
      </w:r>
      <w:r>
        <w:rPr>
          <w:rFonts w:cs="Times New Roman"/>
          <w:b/>
          <w:bCs/>
          <w:sz w:val="32"/>
          <w:szCs w:val="32"/>
          <w:lang w:val="en-US"/>
        </w:rPr>
        <w:t xml:space="preserve">are </w:t>
      </w:r>
      <w:r w:rsidRPr="00CD30E3">
        <w:rPr>
          <w:rFonts w:cs="Times New Roman"/>
          <w:b/>
          <w:bCs/>
          <w:sz w:val="32"/>
          <w:szCs w:val="32"/>
          <w:lang w:val="en-US"/>
        </w:rPr>
        <w:t>invit</w:t>
      </w:r>
      <w:r>
        <w:rPr>
          <w:rFonts w:cs="Times New Roman"/>
          <w:b/>
          <w:bCs/>
          <w:sz w:val="32"/>
          <w:szCs w:val="32"/>
          <w:lang w:val="en-US"/>
        </w:rPr>
        <w:t>ing</w:t>
      </w:r>
      <w:r w:rsidRPr="00CD30E3">
        <w:rPr>
          <w:rFonts w:cs="Times New Roman"/>
          <w:b/>
          <w:bCs/>
          <w:sz w:val="32"/>
          <w:szCs w:val="32"/>
          <w:lang w:val="en-US"/>
        </w:rPr>
        <w:t xml:space="preserve"> to the NTT Webcast</w:t>
      </w:r>
    </w:p>
    <w:p w14:paraId="6E6DF647" w14:textId="77777777" w:rsidR="00E843AA" w:rsidRPr="00CD30E3" w:rsidRDefault="00E843AA" w:rsidP="00E843AA">
      <w:pPr>
        <w:spacing w:after="0" w:line="240" w:lineRule="auto"/>
        <w:rPr>
          <w:rFonts w:cs="Times New Roman"/>
          <w:b/>
          <w:bCs/>
          <w:sz w:val="32"/>
          <w:szCs w:val="32"/>
          <w:lang w:val="en-US"/>
        </w:rPr>
      </w:pPr>
    </w:p>
    <w:p w14:paraId="460175E6" w14:textId="3D099ABC" w:rsidR="00CD30E3" w:rsidRPr="00CD30E3" w:rsidRDefault="00E843AA" w:rsidP="00E843AA">
      <w:pPr>
        <w:spacing w:after="0" w:line="360" w:lineRule="auto"/>
        <w:rPr>
          <w:rFonts w:cs="Times New Roman"/>
          <w:b/>
          <w:bCs/>
          <w:sz w:val="24"/>
          <w:szCs w:val="24"/>
          <w:lang w:val="en-US"/>
        </w:rPr>
      </w:pPr>
      <w:r w:rsidRPr="00CD30E3">
        <w:rPr>
          <w:rFonts w:cs="Times New Roman"/>
          <w:b/>
          <w:bCs/>
          <w:sz w:val="24"/>
          <w:szCs w:val="24"/>
          <w:lang w:val="en-US"/>
        </w:rPr>
        <w:t>Dortmund</w:t>
      </w:r>
      <w:r w:rsidR="00CD30E3" w:rsidRPr="00CD30E3">
        <w:rPr>
          <w:rFonts w:cs="Times New Roman"/>
          <w:b/>
          <w:bCs/>
          <w:sz w:val="24"/>
          <w:szCs w:val="24"/>
          <w:lang w:val="en-US"/>
        </w:rPr>
        <w:t>/Germany</w:t>
      </w:r>
      <w:r w:rsidRPr="00CD30E3">
        <w:rPr>
          <w:rFonts w:cs="Times New Roman"/>
          <w:b/>
          <w:bCs/>
          <w:sz w:val="24"/>
          <w:szCs w:val="24"/>
          <w:lang w:val="en-US"/>
        </w:rPr>
        <w:t xml:space="preserve">, </w:t>
      </w:r>
      <w:r w:rsidR="001B5BD4" w:rsidRPr="00CD30E3">
        <w:rPr>
          <w:rFonts w:cs="Times New Roman"/>
          <w:b/>
          <w:bCs/>
          <w:sz w:val="24"/>
          <w:szCs w:val="24"/>
          <w:lang w:val="en-US"/>
        </w:rPr>
        <w:t>Februar</w:t>
      </w:r>
      <w:r w:rsidR="00CD30E3" w:rsidRPr="00CD30E3">
        <w:rPr>
          <w:rFonts w:cs="Times New Roman"/>
          <w:b/>
          <w:bCs/>
          <w:sz w:val="24"/>
          <w:szCs w:val="24"/>
          <w:lang w:val="en-US"/>
        </w:rPr>
        <w:t>y</w:t>
      </w:r>
      <w:r w:rsidR="00A06212">
        <w:rPr>
          <w:rFonts w:cs="Times New Roman"/>
          <w:b/>
          <w:bCs/>
          <w:sz w:val="24"/>
          <w:szCs w:val="24"/>
          <w:lang w:val="en-US"/>
        </w:rPr>
        <w:t xml:space="preserve"> 1</w:t>
      </w:r>
      <w:r w:rsidR="00A06212" w:rsidRPr="000D5A80">
        <w:rPr>
          <w:rFonts w:cs="Times New Roman"/>
          <w:b/>
          <w:bCs/>
          <w:sz w:val="24"/>
          <w:szCs w:val="24"/>
          <w:vertAlign w:val="superscript"/>
          <w:lang w:val="en-US"/>
        </w:rPr>
        <w:t>st</w:t>
      </w:r>
      <w:r w:rsidR="00A06212">
        <w:rPr>
          <w:rFonts w:cs="Times New Roman"/>
          <w:b/>
          <w:bCs/>
          <w:sz w:val="24"/>
          <w:szCs w:val="24"/>
          <w:lang w:val="en-US"/>
        </w:rPr>
        <w:t>,</w:t>
      </w:r>
      <w:r w:rsidR="001B5BD4" w:rsidRPr="00CD30E3">
        <w:rPr>
          <w:rFonts w:cs="Times New Roman"/>
          <w:b/>
          <w:bCs/>
          <w:sz w:val="24"/>
          <w:szCs w:val="24"/>
          <w:lang w:val="en-US"/>
        </w:rPr>
        <w:t xml:space="preserve"> </w:t>
      </w:r>
      <w:r w:rsidRPr="00CD30E3">
        <w:rPr>
          <w:rFonts w:cs="Times New Roman"/>
          <w:b/>
          <w:bCs/>
          <w:sz w:val="24"/>
          <w:szCs w:val="24"/>
          <w:lang w:val="en-US"/>
        </w:rPr>
        <w:t>202</w:t>
      </w:r>
      <w:r w:rsidR="0031140B">
        <w:rPr>
          <w:rFonts w:cs="Times New Roman"/>
          <w:b/>
          <w:bCs/>
          <w:sz w:val="24"/>
          <w:szCs w:val="24"/>
          <w:lang w:val="en-US"/>
        </w:rPr>
        <w:t>1</w:t>
      </w:r>
      <w:r w:rsidRPr="00CD30E3">
        <w:rPr>
          <w:rFonts w:cs="Times New Roman"/>
          <w:b/>
          <w:bCs/>
          <w:sz w:val="24"/>
          <w:szCs w:val="24"/>
          <w:lang w:val="en-US"/>
        </w:rPr>
        <w:t xml:space="preserve">. </w:t>
      </w:r>
      <w:r w:rsidR="00CD30E3">
        <w:rPr>
          <w:rFonts w:cs="Times New Roman"/>
          <w:b/>
          <w:bCs/>
          <w:sz w:val="24"/>
          <w:szCs w:val="24"/>
          <w:lang w:val="en-US"/>
        </w:rPr>
        <w:t>t</w:t>
      </w:r>
      <w:r w:rsidR="00CD30E3" w:rsidRPr="00CD30E3">
        <w:rPr>
          <w:rFonts w:cs="Times New Roman"/>
          <w:b/>
          <w:bCs/>
          <w:sz w:val="24"/>
          <w:szCs w:val="24"/>
          <w:lang w:val="en-US"/>
        </w:rPr>
        <w:t xml:space="preserve">de, Senko and the Prysmian Group, BU Multimedia Solutions (MMS) will be demonstrating how to create a fast, future-proof and highly available communications cabling system with 100 percent reliability and thus a stable backbone for every company network. On February </w:t>
      </w:r>
      <w:r w:rsidR="00A06212">
        <w:rPr>
          <w:rFonts w:cs="Times New Roman"/>
          <w:b/>
          <w:bCs/>
          <w:sz w:val="24"/>
          <w:szCs w:val="24"/>
          <w:lang w:val="en-US"/>
        </w:rPr>
        <w:t>10</w:t>
      </w:r>
      <w:r w:rsidR="00A06212" w:rsidRPr="000D5A80">
        <w:rPr>
          <w:rFonts w:cs="Times New Roman"/>
          <w:b/>
          <w:bCs/>
          <w:sz w:val="24"/>
          <w:szCs w:val="24"/>
          <w:vertAlign w:val="superscript"/>
          <w:lang w:val="en-US"/>
        </w:rPr>
        <w:t>th</w:t>
      </w:r>
      <w:r w:rsidR="00A06212">
        <w:rPr>
          <w:rFonts w:cs="Times New Roman"/>
          <w:b/>
          <w:bCs/>
          <w:sz w:val="24"/>
          <w:szCs w:val="24"/>
          <w:lang w:val="en-US"/>
        </w:rPr>
        <w:t xml:space="preserve"> </w:t>
      </w:r>
      <w:r w:rsidR="00CD30E3" w:rsidRPr="00CD30E3">
        <w:rPr>
          <w:rFonts w:cs="Times New Roman"/>
          <w:b/>
          <w:bCs/>
          <w:sz w:val="24"/>
          <w:szCs w:val="24"/>
          <w:lang w:val="en-US"/>
        </w:rPr>
        <w:t xml:space="preserve">at 10 a.m., network specialist tde, component partner Senko and cable expert BU MMS invite interested parties to a webcast entitled "Cabling in the Data Center </w:t>
      </w:r>
      <w:r w:rsidR="00A06212">
        <w:rPr>
          <w:rFonts w:cs="Times New Roman"/>
          <w:b/>
          <w:bCs/>
          <w:sz w:val="24"/>
          <w:szCs w:val="24"/>
          <w:lang w:val="en-US"/>
        </w:rPr>
        <w:t>–</w:t>
      </w:r>
      <w:r w:rsidR="00CD30E3" w:rsidRPr="00CD30E3">
        <w:rPr>
          <w:rFonts w:cs="Times New Roman"/>
          <w:b/>
          <w:bCs/>
          <w:sz w:val="24"/>
          <w:szCs w:val="24"/>
          <w:lang w:val="en-US"/>
        </w:rPr>
        <w:t xml:space="preserve"> Efficient by Design" as part of the NTT Technology Experience Lab. In their presentations, the technology partners will provide information on high-density solutions in data centres, explain the advantages of structured cabling and answer questions on the topics of high availability, reliability and energy efficiency. Interested parties can register now free of charge at </w:t>
      </w:r>
      <w:hyperlink r:id="rId7" w:history="1">
        <w:r w:rsidR="00CD30E3" w:rsidRPr="00251BAC">
          <w:rPr>
            <w:rStyle w:val="Hyperlink"/>
            <w:b/>
            <w:bCs/>
            <w:sz w:val="24"/>
            <w:szCs w:val="24"/>
            <w:lang w:val="en-US"/>
          </w:rPr>
          <w:t>https://www.brighttalk.com/webcast/15381/464444</w:t>
        </w:r>
      </w:hyperlink>
      <w:r w:rsidR="00CD30E3">
        <w:rPr>
          <w:rFonts w:cs="Times New Roman"/>
          <w:b/>
          <w:bCs/>
          <w:sz w:val="24"/>
          <w:szCs w:val="24"/>
          <w:lang w:val="en-US"/>
        </w:rPr>
        <w:t xml:space="preserve"> </w:t>
      </w:r>
      <w:r w:rsidR="00CD30E3" w:rsidRPr="00CD30E3">
        <w:rPr>
          <w:rFonts w:cs="Times New Roman"/>
          <w:b/>
          <w:bCs/>
          <w:sz w:val="24"/>
          <w:szCs w:val="24"/>
          <w:lang w:val="en-US"/>
        </w:rPr>
        <w:t>and view the agenda.</w:t>
      </w:r>
    </w:p>
    <w:p w14:paraId="542C1D24" w14:textId="77777777" w:rsidR="00CD30E3" w:rsidRPr="00CD30E3" w:rsidRDefault="00CD30E3" w:rsidP="00E843AA">
      <w:pPr>
        <w:spacing w:after="0" w:line="360" w:lineRule="auto"/>
        <w:rPr>
          <w:rFonts w:cs="Times New Roman"/>
          <w:b/>
          <w:bCs/>
          <w:sz w:val="24"/>
          <w:szCs w:val="24"/>
          <w:lang w:val="en-US"/>
        </w:rPr>
      </w:pPr>
    </w:p>
    <w:p w14:paraId="01508FE2" w14:textId="0F3D1FB0" w:rsidR="00CD30E3" w:rsidRPr="00CD30E3" w:rsidRDefault="00CD30E3" w:rsidP="00CD30E3">
      <w:pPr>
        <w:spacing w:after="0" w:line="360" w:lineRule="auto"/>
        <w:rPr>
          <w:rFonts w:cs="Times New Roman"/>
          <w:sz w:val="24"/>
          <w:szCs w:val="24"/>
          <w:lang w:val="en-US"/>
        </w:rPr>
      </w:pPr>
      <w:r w:rsidRPr="00CD30E3">
        <w:rPr>
          <w:rFonts w:cs="Times New Roman"/>
          <w:sz w:val="24"/>
          <w:szCs w:val="24"/>
          <w:lang w:val="en-US"/>
        </w:rPr>
        <w:t>2020, tde and Senko have installed structured cabling based on the tML-24, tML-32 systems as well as the patch cable management tPM in the central distributor and in selected manufacturer cabinets of the NTT Experience Lab in Frankfurt. Companies can thus successfully test their digitali</w:t>
      </w:r>
      <w:r w:rsidR="00282603">
        <w:rPr>
          <w:rFonts w:cs="Times New Roman"/>
          <w:sz w:val="24"/>
          <w:szCs w:val="24"/>
          <w:lang w:val="en-US"/>
        </w:rPr>
        <w:t>s</w:t>
      </w:r>
      <w:r w:rsidRPr="00CD30E3">
        <w:rPr>
          <w:rFonts w:cs="Times New Roman"/>
          <w:sz w:val="24"/>
          <w:szCs w:val="24"/>
          <w:lang w:val="en-US"/>
        </w:rPr>
        <w:t xml:space="preserve">ation projects, develop efficient cloud strategies and validate use cases. </w:t>
      </w:r>
    </w:p>
    <w:p w14:paraId="7E9DC0BF" w14:textId="15E7B2BC" w:rsidR="00CD30E3" w:rsidRPr="00CD30E3" w:rsidRDefault="00CD30E3" w:rsidP="00CD30E3">
      <w:pPr>
        <w:spacing w:after="0" w:line="360" w:lineRule="auto"/>
        <w:rPr>
          <w:rFonts w:cs="Times New Roman"/>
          <w:sz w:val="24"/>
          <w:szCs w:val="24"/>
          <w:lang w:val="en-US"/>
        </w:rPr>
      </w:pPr>
      <w:r w:rsidRPr="00CD30E3">
        <w:rPr>
          <w:rFonts w:cs="Times New Roman"/>
          <w:sz w:val="24"/>
          <w:szCs w:val="24"/>
          <w:lang w:val="en-US"/>
        </w:rPr>
        <w:t>Now the technology partners are providing information in a webcast about the installed cabling concept based on MPO multi-fibre technology: "The demands on the highly available and fail</w:t>
      </w:r>
      <w:r>
        <w:rPr>
          <w:rFonts w:cs="Times New Roman"/>
          <w:sz w:val="24"/>
          <w:szCs w:val="24"/>
          <w:lang w:val="en-US"/>
        </w:rPr>
        <w:t>ure-proof</w:t>
      </w:r>
      <w:r w:rsidRPr="00CD30E3">
        <w:rPr>
          <w:rFonts w:cs="Times New Roman"/>
          <w:sz w:val="24"/>
          <w:szCs w:val="24"/>
          <w:lang w:val="en-US"/>
        </w:rPr>
        <w:t xml:space="preserve"> cabling infrastructure are and remain high. To ensure that companies are well equipped to enter the terabit age, they should rely on reliable cables, innovative connectors in the patch area and the proven multi-fibre technology in the rear. Together with the experts from the Prysmian Group, BU Multimedia Solutions and Senko, we will show what to look out for," says André Engel, Managing Director of tde.</w:t>
      </w:r>
    </w:p>
    <w:p w14:paraId="57EE7A43" w14:textId="7BD46657" w:rsidR="00CD30E3" w:rsidRPr="00CD30E3" w:rsidRDefault="001B5BD4" w:rsidP="00CD30E3">
      <w:pPr>
        <w:spacing w:after="0" w:line="360" w:lineRule="auto"/>
        <w:rPr>
          <w:rFonts w:cs="Times New Roman"/>
          <w:i/>
          <w:iCs/>
          <w:sz w:val="24"/>
          <w:szCs w:val="24"/>
          <w:lang w:val="en-US"/>
        </w:rPr>
      </w:pPr>
      <w:r w:rsidRPr="00CD30E3">
        <w:rPr>
          <w:rFonts w:cs="Times New Roman"/>
          <w:i/>
          <w:iCs/>
          <w:sz w:val="24"/>
          <w:szCs w:val="24"/>
          <w:lang w:val="en-US"/>
        </w:rPr>
        <w:lastRenderedPageBreak/>
        <w:br/>
      </w:r>
      <w:r w:rsidR="00CD30E3" w:rsidRPr="00CD30E3">
        <w:rPr>
          <w:rFonts w:cs="Times New Roman"/>
          <w:i/>
          <w:iCs/>
          <w:sz w:val="24"/>
          <w:szCs w:val="24"/>
          <w:lang w:val="en-US"/>
        </w:rPr>
        <w:t xml:space="preserve">Holistic webcast approach </w:t>
      </w:r>
    </w:p>
    <w:p w14:paraId="22E63855" w14:textId="15663240" w:rsidR="00CD30E3" w:rsidRPr="00CD30E3" w:rsidRDefault="00CD30E3" w:rsidP="00CD30E3">
      <w:pPr>
        <w:spacing w:after="0" w:line="360" w:lineRule="auto"/>
        <w:rPr>
          <w:rFonts w:cs="Times New Roman"/>
          <w:sz w:val="24"/>
          <w:szCs w:val="24"/>
          <w:lang w:val="en-US"/>
        </w:rPr>
      </w:pPr>
      <w:r w:rsidRPr="00CD30E3">
        <w:rPr>
          <w:rFonts w:cs="Times New Roman"/>
          <w:sz w:val="24"/>
          <w:szCs w:val="24"/>
          <w:lang w:val="en-US"/>
        </w:rPr>
        <w:t xml:space="preserve">In order to shed light on the cabling infrastructure ecosystem in a holistic manner, tde has also been able to win the Prysmian Group's technology partner BU Multimedia Solutions as a webcast partner. Gerard Pera, Product Manager FO Data Cables of BU MMS, will open the webcast with a presentation on </w:t>
      </w:r>
      <w:r w:rsidRPr="000D5A80">
        <w:rPr>
          <w:rFonts w:cs="Times New Roman"/>
          <w:sz w:val="24"/>
          <w:szCs w:val="24"/>
          <w:lang w:val="en-US"/>
        </w:rPr>
        <w:t xml:space="preserve">"Fibre </w:t>
      </w:r>
      <w:r w:rsidR="000D5A80" w:rsidRPr="000D5A80">
        <w:rPr>
          <w:rFonts w:cs="Times New Roman"/>
          <w:sz w:val="24"/>
          <w:szCs w:val="24"/>
          <w:lang w:val="en-US"/>
        </w:rPr>
        <w:t xml:space="preserve">optic cable </w:t>
      </w:r>
      <w:r w:rsidRPr="000D5A80">
        <w:rPr>
          <w:rFonts w:cs="Times New Roman"/>
          <w:sz w:val="24"/>
          <w:szCs w:val="24"/>
          <w:lang w:val="en-US"/>
        </w:rPr>
        <w:t>miniaturisation</w:t>
      </w:r>
      <w:r w:rsidRPr="00CD30E3">
        <w:rPr>
          <w:rFonts w:cs="Times New Roman"/>
          <w:sz w:val="24"/>
          <w:szCs w:val="24"/>
          <w:lang w:val="en-US"/>
        </w:rPr>
        <w:t xml:space="preserve"> in high-speed networks". He informs about the technological development of Draka fibre optic cables towards smaller and improved </w:t>
      </w:r>
      <w:r w:rsidRPr="000D5A80">
        <w:rPr>
          <w:rFonts w:cs="Times New Roman"/>
          <w:sz w:val="24"/>
          <w:szCs w:val="24"/>
          <w:lang w:val="en-US"/>
        </w:rPr>
        <w:t>dimensions,</w:t>
      </w:r>
      <w:r w:rsidRPr="00CD30E3">
        <w:rPr>
          <w:rFonts w:cs="Times New Roman"/>
          <w:sz w:val="24"/>
          <w:szCs w:val="24"/>
          <w:lang w:val="en-US"/>
        </w:rPr>
        <w:t xml:space="preserve"> high-density solutions and further multimedia solutions for data centres and related applications. He also provides insights into the current state of parallel optical cabling.</w:t>
      </w:r>
    </w:p>
    <w:p w14:paraId="02552C2A" w14:textId="77777777" w:rsidR="00E843AA" w:rsidRPr="00CD30E3" w:rsidRDefault="00E843AA" w:rsidP="00E843AA">
      <w:pPr>
        <w:spacing w:after="0" w:line="360" w:lineRule="auto"/>
        <w:rPr>
          <w:rFonts w:cs="Times New Roman"/>
          <w:sz w:val="24"/>
          <w:szCs w:val="24"/>
          <w:lang w:val="en-US"/>
        </w:rPr>
      </w:pPr>
    </w:p>
    <w:p w14:paraId="3FD83480" w14:textId="36F56DA4" w:rsidR="00CD30E3" w:rsidRPr="00CD30E3" w:rsidRDefault="005D72D9" w:rsidP="00E843AA">
      <w:pPr>
        <w:spacing w:after="0" w:line="360" w:lineRule="auto"/>
        <w:rPr>
          <w:rFonts w:cs="Times New Roman"/>
          <w:sz w:val="24"/>
          <w:szCs w:val="24"/>
          <w:lang w:val="en-US"/>
        </w:rPr>
      </w:pPr>
      <w:r>
        <w:rPr>
          <w:rFonts w:cs="Times New Roman"/>
          <w:sz w:val="24"/>
          <w:szCs w:val="24"/>
          <w:lang w:val="en-US"/>
        </w:rPr>
        <w:t xml:space="preserve">Afterwards, </w:t>
      </w:r>
      <w:r w:rsidR="00CD30E3" w:rsidRPr="00CD30E3">
        <w:rPr>
          <w:rFonts w:cs="Times New Roman"/>
          <w:sz w:val="24"/>
          <w:szCs w:val="24"/>
          <w:lang w:val="en-US"/>
        </w:rPr>
        <w:t>Jarno Franke, Sales Account Manager at Senko, explains the advantages of the compact CS and SN connectors: "Thanks to their up to 40 percent smaller form factor compared to comparable LC duplex connectors, the packing density in the patch area can be significantly increased. However, the full innovative advantage of the new generation of single-fibre connectors only comes into play in combination with the systematics of the tML cabling platforms: By relying on CS connection technology on the front side, the tML32 system from network expert tde can realise up to 128 x 2 fibres with a total of 256 fibres on one height unit. The SN connector goes even further, integrating up to 384 fibres, twice as many as when using LC duplex connectors. These and other aspects for more packing density and space savings in data centres are the focus of Sascha Langer, Sal</w:t>
      </w:r>
      <w:r>
        <w:rPr>
          <w:rFonts w:cs="Times New Roman"/>
          <w:sz w:val="24"/>
          <w:szCs w:val="24"/>
          <w:lang w:val="en-US"/>
        </w:rPr>
        <w:t>e</w:t>
      </w:r>
      <w:r w:rsidR="00CD30E3" w:rsidRPr="00CD30E3">
        <w:rPr>
          <w:rFonts w:cs="Times New Roman"/>
          <w:sz w:val="24"/>
          <w:szCs w:val="24"/>
          <w:lang w:val="en-US"/>
        </w:rPr>
        <w:t>s Consultant at tde trans data elektronik GmbH, in his contribution entitled "High-density in Data Centres".</w:t>
      </w:r>
    </w:p>
    <w:p w14:paraId="5C2C00AB" w14:textId="007C0A18" w:rsidR="00CD30E3" w:rsidRPr="00CD30E3" w:rsidRDefault="001B5BD4" w:rsidP="00CD30E3">
      <w:pPr>
        <w:spacing w:after="0" w:line="360" w:lineRule="auto"/>
        <w:rPr>
          <w:rFonts w:cs="Times New Roman"/>
          <w:i/>
          <w:iCs/>
          <w:sz w:val="24"/>
          <w:szCs w:val="24"/>
          <w:lang w:val="en-US"/>
        </w:rPr>
      </w:pPr>
      <w:r w:rsidRPr="00CD30E3">
        <w:rPr>
          <w:rFonts w:cs="Times New Roman"/>
          <w:i/>
          <w:iCs/>
          <w:sz w:val="24"/>
          <w:szCs w:val="24"/>
          <w:lang w:val="en-US"/>
        </w:rPr>
        <w:br/>
      </w:r>
      <w:r w:rsidR="00CD30E3" w:rsidRPr="00CD30E3">
        <w:rPr>
          <w:rFonts w:cs="Times New Roman"/>
          <w:i/>
          <w:iCs/>
          <w:sz w:val="24"/>
          <w:szCs w:val="24"/>
          <w:lang w:val="en-US"/>
        </w:rPr>
        <w:t xml:space="preserve">Well planned for a future-proof </w:t>
      </w:r>
      <w:r w:rsidR="00CD30E3">
        <w:rPr>
          <w:rFonts w:cs="Times New Roman"/>
          <w:i/>
          <w:iCs/>
          <w:sz w:val="24"/>
          <w:szCs w:val="24"/>
          <w:lang w:val="en-US"/>
        </w:rPr>
        <w:t>d</w:t>
      </w:r>
      <w:r w:rsidR="00CD30E3" w:rsidRPr="00CD30E3">
        <w:rPr>
          <w:rFonts w:cs="Times New Roman"/>
          <w:i/>
          <w:iCs/>
          <w:sz w:val="24"/>
          <w:szCs w:val="24"/>
          <w:lang w:val="en-US"/>
        </w:rPr>
        <w:t>igitali</w:t>
      </w:r>
      <w:r w:rsidR="00BA3662">
        <w:rPr>
          <w:rFonts w:cs="Times New Roman"/>
          <w:i/>
          <w:iCs/>
          <w:sz w:val="24"/>
          <w:szCs w:val="24"/>
          <w:lang w:val="en-US"/>
        </w:rPr>
        <w:t>s</w:t>
      </w:r>
      <w:r w:rsidR="00CD30E3" w:rsidRPr="00CD30E3">
        <w:rPr>
          <w:rFonts w:cs="Times New Roman"/>
          <w:i/>
          <w:iCs/>
          <w:sz w:val="24"/>
          <w:szCs w:val="24"/>
          <w:lang w:val="en-US"/>
        </w:rPr>
        <w:t xml:space="preserve">ation project </w:t>
      </w:r>
    </w:p>
    <w:p w14:paraId="1F228E7E" w14:textId="319BE235" w:rsidR="00CD30E3" w:rsidRPr="00CD30E3" w:rsidRDefault="00CD30E3" w:rsidP="00CD30E3">
      <w:pPr>
        <w:spacing w:after="0" w:line="360" w:lineRule="auto"/>
        <w:rPr>
          <w:rFonts w:cs="Times New Roman"/>
          <w:sz w:val="24"/>
          <w:szCs w:val="24"/>
          <w:lang w:val="en-US"/>
        </w:rPr>
      </w:pPr>
      <w:r w:rsidRPr="00CD30E3">
        <w:rPr>
          <w:rFonts w:cs="Times New Roman"/>
          <w:sz w:val="24"/>
          <w:szCs w:val="24"/>
          <w:lang w:val="en-US"/>
        </w:rPr>
        <w:t>"With the webcast, we want to support companies in the planning and proof-of-concept for their digitali</w:t>
      </w:r>
      <w:r w:rsidR="006E5DA9">
        <w:rPr>
          <w:rFonts w:cs="Times New Roman"/>
          <w:sz w:val="24"/>
          <w:szCs w:val="24"/>
          <w:lang w:val="en-US"/>
        </w:rPr>
        <w:t>s</w:t>
      </w:r>
      <w:r w:rsidRPr="00CD30E3">
        <w:rPr>
          <w:rFonts w:cs="Times New Roman"/>
          <w:sz w:val="24"/>
          <w:szCs w:val="24"/>
          <w:lang w:val="en-US"/>
        </w:rPr>
        <w:t xml:space="preserve">ation project," explains André Engel and continues: "Because only if they know right from the start what they have to pay attention to when implementing a stable and future-proof cabling infrastructure, can they later rely on high availability and 100 percent reliability with simultaneous easy migration to higher transmission rates. Flexible, modular cabling systems are central to this. These should take into account fibre optic cables with high fibre counts and small diameters as well as the possibility of integrating all relevant connectors currently available on the market." </w:t>
      </w:r>
    </w:p>
    <w:p w14:paraId="7691A4F6" w14:textId="3D8D0E52" w:rsidR="00CD30E3" w:rsidRPr="00CD30E3" w:rsidRDefault="0088496C" w:rsidP="00CD30E3">
      <w:pPr>
        <w:spacing w:after="0" w:line="360" w:lineRule="auto"/>
        <w:rPr>
          <w:rFonts w:cs="Times New Roman"/>
          <w:sz w:val="24"/>
          <w:szCs w:val="24"/>
          <w:lang w:val="en-US"/>
        </w:rPr>
      </w:pPr>
      <w:r>
        <w:rPr>
          <w:rFonts w:cs="Times New Roman"/>
          <w:sz w:val="24"/>
          <w:szCs w:val="24"/>
          <w:lang w:val="en-US"/>
        </w:rPr>
        <w:lastRenderedPageBreak/>
        <w:br/>
      </w:r>
      <w:r>
        <w:rPr>
          <w:rFonts w:cs="Times New Roman"/>
          <w:sz w:val="24"/>
          <w:szCs w:val="24"/>
          <w:lang w:val="en-US"/>
        </w:rPr>
        <w:br/>
      </w:r>
      <w:r w:rsidR="00CD30E3" w:rsidRPr="00CD30E3">
        <w:rPr>
          <w:rFonts w:cs="Times New Roman"/>
          <w:sz w:val="24"/>
          <w:szCs w:val="24"/>
          <w:lang w:val="en-US"/>
        </w:rPr>
        <w:t xml:space="preserve">The NTT webcast will take place on February </w:t>
      </w:r>
      <w:r w:rsidR="006E5DA9">
        <w:rPr>
          <w:rFonts w:cs="Times New Roman"/>
          <w:sz w:val="24"/>
          <w:szCs w:val="24"/>
          <w:lang w:val="en-US"/>
        </w:rPr>
        <w:t>10</w:t>
      </w:r>
      <w:r w:rsidR="006E5DA9" w:rsidRPr="000D5A80">
        <w:rPr>
          <w:rFonts w:cs="Times New Roman"/>
          <w:sz w:val="24"/>
          <w:szCs w:val="24"/>
          <w:vertAlign w:val="superscript"/>
          <w:lang w:val="en-US"/>
        </w:rPr>
        <w:t>th</w:t>
      </w:r>
      <w:r w:rsidR="006E5DA9">
        <w:rPr>
          <w:rFonts w:cs="Times New Roman"/>
          <w:sz w:val="24"/>
          <w:szCs w:val="24"/>
          <w:lang w:val="en-US"/>
        </w:rPr>
        <w:t xml:space="preserve"> </w:t>
      </w:r>
      <w:r w:rsidR="00CD30E3" w:rsidRPr="00CD30E3">
        <w:rPr>
          <w:rFonts w:cs="Times New Roman"/>
          <w:sz w:val="24"/>
          <w:szCs w:val="24"/>
          <w:lang w:val="en-US"/>
        </w:rPr>
        <w:t xml:space="preserve">at 10am. Interested parties can register free of charge at </w:t>
      </w:r>
      <w:hyperlink r:id="rId8" w:history="1">
        <w:r w:rsidR="00CD30E3" w:rsidRPr="00CD30E3">
          <w:rPr>
            <w:rStyle w:val="Hyperlink"/>
            <w:sz w:val="24"/>
            <w:szCs w:val="24"/>
            <w:lang w:val="en-US"/>
          </w:rPr>
          <w:t>https://www.brighttalk.com/webcast/15381/464444</w:t>
        </w:r>
      </w:hyperlink>
    </w:p>
    <w:p w14:paraId="598CEADC" w14:textId="77777777" w:rsidR="00E843AA" w:rsidRPr="000D5A80" w:rsidRDefault="00E843AA" w:rsidP="00E843AA">
      <w:pPr>
        <w:spacing w:after="0" w:line="360" w:lineRule="auto"/>
        <w:rPr>
          <w:rFonts w:cs="Times New Roman"/>
          <w:sz w:val="24"/>
          <w:szCs w:val="24"/>
          <w:lang w:val="en-US"/>
        </w:rPr>
      </w:pPr>
    </w:p>
    <w:p w14:paraId="16AB8E0E" w14:textId="77777777" w:rsidR="0088496C" w:rsidRDefault="0088496C" w:rsidP="0088496C">
      <w:pPr>
        <w:spacing w:after="0" w:line="360" w:lineRule="auto"/>
        <w:rPr>
          <w:b/>
          <w:bCs/>
          <w:sz w:val="18"/>
          <w:szCs w:val="18"/>
          <w:lang w:val="en-GB"/>
        </w:rPr>
      </w:pPr>
      <w:r>
        <w:rPr>
          <w:b/>
          <w:bCs/>
          <w:sz w:val="18"/>
          <w:szCs w:val="18"/>
          <w:lang w:val="en-GB"/>
        </w:rPr>
        <w:t xml:space="preserve">About tde – trans data elektronik GmbH </w:t>
      </w:r>
    </w:p>
    <w:p w14:paraId="4E756DF3" w14:textId="411F9E4E" w:rsidR="0088496C" w:rsidRDefault="0088496C" w:rsidP="0088496C">
      <w:pPr>
        <w:jc w:val="both"/>
        <w:rPr>
          <w:lang w:val="en-GB"/>
        </w:rPr>
      </w:pPr>
      <w:r>
        <w:rPr>
          <w:sz w:val="18"/>
          <w:szCs w:val="18"/>
          <w:lang w:val="en-GB"/>
        </w:rPr>
        <w:t xml:space="preserve">For more than 25 years the tde - trans data elektronik GmbH, an internationally successful company, has specialised in the development and production of scalable cabling systems for highest packing density. The nuclear research centre CERN relies on the know-how of the leading company in multi-fibre technics (MPO) as well. The company’s portfolio "Made in Germany" contains complete system solutions with a focus on Plug-and-play for high speed applications in the field of datacom, telecom, industry, medical and defence. tde offers both planning and installation services through its own service department and supports the "European Code of Conduct" when it comes to energy efficiency in data centres. For more information, visit </w:t>
      </w:r>
      <w:hyperlink r:id="rId9" w:history="1">
        <w:r>
          <w:rPr>
            <w:rStyle w:val="Hyperlink"/>
            <w:sz w:val="18"/>
            <w:szCs w:val="18"/>
            <w:lang w:val="en-GB"/>
          </w:rPr>
          <w:t>www.tde.de</w:t>
        </w:r>
      </w:hyperlink>
      <w:r>
        <w:rPr>
          <w:lang w:val="en-GB"/>
        </w:rPr>
        <w:t xml:space="preserve"> </w:t>
      </w:r>
      <w:r w:rsidRPr="0088496C">
        <w:rPr>
          <w:sz w:val="18"/>
          <w:szCs w:val="16"/>
          <w:lang w:val="en-US"/>
        </w:rPr>
        <w:t xml:space="preserve">or </w:t>
      </w:r>
      <w:r>
        <w:rPr>
          <w:sz w:val="18"/>
          <w:szCs w:val="16"/>
          <w:lang w:val="en-US"/>
        </w:rPr>
        <w:t>f</w:t>
      </w:r>
      <w:r w:rsidRPr="0088496C">
        <w:rPr>
          <w:sz w:val="18"/>
          <w:szCs w:val="16"/>
          <w:lang w:val="en-US"/>
        </w:rPr>
        <w:t>ol</w:t>
      </w:r>
      <w:r>
        <w:rPr>
          <w:sz w:val="18"/>
          <w:szCs w:val="16"/>
          <w:lang w:val="en-US"/>
        </w:rPr>
        <w:t xml:space="preserve">low us on </w:t>
      </w:r>
      <w:hyperlink r:id="rId10" w:history="1">
        <w:r w:rsidRPr="0088496C">
          <w:rPr>
            <w:rStyle w:val="Hyperlink"/>
            <w:rFonts w:cs="Calibri"/>
            <w:sz w:val="18"/>
            <w:szCs w:val="16"/>
            <w:lang w:val="en-US"/>
          </w:rPr>
          <w:t>LinkedIn</w:t>
        </w:r>
      </w:hyperlink>
      <w:r w:rsidRPr="0088496C">
        <w:rPr>
          <w:sz w:val="18"/>
          <w:szCs w:val="16"/>
          <w:lang w:val="en-US"/>
        </w:rPr>
        <w:t xml:space="preserve">, </w:t>
      </w:r>
      <w:hyperlink r:id="rId11" w:history="1">
        <w:r w:rsidRPr="0088496C">
          <w:rPr>
            <w:rStyle w:val="Hyperlink"/>
            <w:rFonts w:cs="Calibri"/>
            <w:sz w:val="18"/>
            <w:szCs w:val="16"/>
            <w:lang w:val="en-US"/>
          </w:rPr>
          <w:t>Twitter</w:t>
        </w:r>
      </w:hyperlink>
      <w:r w:rsidRPr="0088496C">
        <w:rPr>
          <w:sz w:val="18"/>
          <w:szCs w:val="16"/>
          <w:lang w:val="en-US"/>
        </w:rPr>
        <w:t xml:space="preserve"> und </w:t>
      </w:r>
      <w:hyperlink r:id="rId12" w:history="1">
        <w:r w:rsidRPr="0088496C">
          <w:rPr>
            <w:rStyle w:val="Hyperlink"/>
            <w:rFonts w:cs="Calibri"/>
            <w:sz w:val="18"/>
            <w:szCs w:val="16"/>
            <w:lang w:val="en-US"/>
          </w:rPr>
          <w:t>Xing</w:t>
        </w:r>
      </w:hyperlink>
      <w:r w:rsidRPr="0088496C">
        <w:rPr>
          <w:rStyle w:val="Hyperlink"/>
          <w:rFonts w:cs="Calibri"/>
          <w:sz w:val="18"/>
          <w:szCs w:val="16"/>
          <w:lang w:val="en-US"/>
        </w:rPr>
        <w:t>.</w:t>
      </w:r>
    </w:p>
    <w:p w14:paraId="0A07EC55" w14:textId="77777777" w:rsidR="0088496C" w:rsidRPr="000D5A80" w:rsidRDefault="0088496C" w:rsidP="0088496C">
      <w:pPr>
        <w:spacing w:after="0" w:line="360" w:lineRule="auto"/>
        <w:rPr>
          <w:b/>
          <w:bCs/>
          <w:sz w:val="18"/>
          <w:szCs w:val="18"/>
        </w:rPr>
      </w:pPr>
      <w:r w:rsidRPr="000D5A80">
        <w:rPr>
          <w:b/>
          <w:bCs/>
          <w:sz w:val="18"/>
          <w:szCs w:val="18"/>
        </w:rPr>
        <w:t xml:space="preserve">Customer contact: </w:t>
      </w:r>
    </w:p>
    <w:p w14:paraId="6D021F51" w14:textId="77777777" w:rsidR="0088496C" w:rsidRPr="00895437" w:rsidRDefault="0088496C" w:rsidP="0088496C">
      <w:pPr>
        <w:rPr>
          <w:sz w:val="18"/>
          <w:szCs w:val="16"/>
        </w:rPr>
      </w:pPr>
      <w:r w:rsidRPr="000D5A80">
        <w:rPr>
          <w:sz w:val="18"/>
          <w:szCs w:val="16"/>
        </w:rPr>
        <w:t xml:space="preserve">tde - trans data elektronik GmbH, Sales office Dortmund, </w:t>
      </w:r>
      <w:r w:rsidRPr="000D5A80">
        <w:rPr>
          <w:sz w:val="18"/>
          <w:szCs w:val="16"/>
        </w:rPr>
        <w:br/>
        <w:t xml:space="preserve">André Engel, Prinz-Friedrich-Karl-Str. </w:t>
      </w:r>
      <w:r w:rsidRPr="00895437">
        <w:rPr>
          <w:sz w:val="18"/>
          <w:szCs w:val="16"/>
        </w:rPr>
        <w:t xml:space="preserve">46, 44135 Dortmund, </w:t>
      </w:r>
      <w:r w:rsidRPr="00895437">
        <w:rPr>
          <w:sz w:val="18"/>
          <w:szCs w:val="16"/>
        </w:rPr>
        <w:br/>
        <w:t xml:space="preserve">Tel. +49 231 160480, Fax +49 231 160933, </w:t>
      </w:r>
      <w:hyperlink r:id="rId13" w:history="1">
        <w:r w:rsidRPr="00895437">
          <w:rPr>
            <w:rStyle w:val="Hyperlink"/>
            <w:sz w:val="18"/>
          </w:rPr>
          <w:t>info@tde.de</w:t>
        </w:r>
      </w:hyperlink>
      <w:r w:rsidRPr="00895437">
        <w:rPr>
          <w:sz w:val="18"/>
          <w:szCs w:val="16"/>
        </w:rPr>
        <w:t xml:space="preserve">, </w:t>
      </w:r>
      <w:hyperlink r:id="rId14" w:history="1">
        <w:r w:rsidRPr="00895437">
          <w:rPr>
            <w:rStyle w:val="Hyperlink"/>
            <w:sz w:val="18"/>
          </w:rPr>
          <w:t>www.tde.de</w:t>
        </w:r>
      </w:hyperlink>
    </w:p>
    <w:p w14:paraId="0578473D" w14:textId="77777777" w:rsidR="0088496C" w:rsidRPr="00895437" w:rsidRDefault="0088496C" w:rsidP="0088496C">
      <w:pPr>
        <w:spacing w:after="0" w:line="360" w:lineRule="auto"/>
        <w:rPr>
          <w:b/>
          <w:bCs/>
          <w:sz w:val="18"/>
          <w:szCs w:val="18"/>
        </w:rPr>
      </w:pPr>
      <w:r w:rsidRPr="00895437">
        <w:rPr>
          <w:b/>
          <w:bCs/>
          <w:sz w:val="18"/>
          <w:szCs w:val="18"/>
        </w:rPr>
        <w:t>Press contact:</w:t>
      </w:r>
    </w:p>
    <w:p w14:paraId="72519658" w14:textId="77777777" w:rsidR="0088496C" w:rsidRPr="00895437" w:rsidRDefault="0088496C" w:rsidP="0088496C">
      <w:pPr>
        <w:spacing w:after="0" w:line="240" w:lineRule="auto"/>
        <w:rPr>
          <w:sz w:val="18"/>
          <w:szCs w:val="18"/>
        </w:rPr>
      </w:pPr>
      <w:r w:rsidRPr="00895437">
        <w:rPr>
          <w:sz w:val="18"/>
          <w:szCs w:val="18"/>
        </w:rPr>
        <w:t>epr - elsaesser public relations, Maximilianstraße 50, D-86150 Augsburg, Germany</w:t>
      </w:r>
      <w:r w:rsidRPr="00895437">
        <w:rPr>
          <w:sz w:val="18"/>
          <w:szCs w:val="18"/>
        </w:rPr>
        <w:br/>
        <w:t xml:space="preserve">Sabine Hensold, Tel: +49 - (0)821 – 4508 7917, </w:t>
      </w:r>
      <w:hyperlink r:id="rId15" w:history="1">
        <w:r w:rsidRPr="00895437">
          <w:rPr>
            <w:rStyle w:val="Hyperlink"/>
            <w:sz w:val="18"/>
            <w:szCs w:val="18"/>
          </w:rPr>
          <w:t>sh@epr-online.de</w:t>
        </w:r>
      </w:hyperlink>
      <w:r w:rsidRPr="00895437">
        <w:rPr>
          <w:sz w:val="18"/>
          <w:szCs w:val="18"/>
        </w:rPr>
        <w:br/>
        <w:t xml:space="preserve">Frauke Schütz, Tel: +49 – (0)821 – 4508 7916, </w:t>
      </w:r>
      <w:hyperlink r:id="rId16" w:history="1">
        <w:r w:rsidRPr="00895437">
          <w:rPr>
            <w:rStyle w:val="Hyperlink"/>
            <w:sz w:val="18"/>
            <w:szCs w:val="18"/>
          </w:rPr>
          <w:t>fs@epr-online.de</w:t>
        </w:r>
      </w:hyperlink>
      <w:r w:rsidRPr="00895437">
        <w:rPr>
          <w:sz w:val="18"/>
          <w:szCs w:val="18"/>
        </w:rPr>
        <w:t xml:space="preserve">, </w:t>
      </w:r>
      <w:hyperlink r:id="rId17" w:history="1">
        <w:r w:rsidRPr="00895437">
          <w:rPr>
            <w:rStyle w:val="Hyperlink"/>
            <w:sz w:val="18"/>
            <w:szCs w:val="18"/>
          </w:rPr>
          <w:t>www.epr-online.de</w:t>
        </w:r>
      </w:hyperlink>
    </w:p>
    <w:p w14:paraId="6C83C864" w14:textId="77777777" w:rsidR="0088496C" w:rsidRDefault="0088496C" w:rsidP="004576F2">
      <w:pPr>
        <w:rPr>
          <w:rFonts w:cs="Verdana"/>
          <w:b/>
          <w:bCs/>
          <w:sz w:val="18"/>
          <w:szCs w:val="16"/>
        </w:rPr>
      </w:pPr>
    </w:p>
    <w:p w14:paraId="0917166A" w14:textId="2041F9D5" w:rsidR="0088496C" w:rsidRDefault="0088496C" w:rsidP="0088496C">
      <w:pPr>
        <w:spacing w:after="0" w:line="360" w:lineRule="auto"/>
        <w:jc w:val="both"/>
        <w:rPr>
          <w:b/>
          <w:bCs/>
          <w:sz w:val="18"/>
          <w:szCs w:val="18"/>
          <w:lang w:val="en-GB"/>
        </w:rPr>
      </w:pPr>
      <w:r w:rsidRPr="00614203">
        <w:rPr>
          <w:b/>
          <w:bCs/>
          <w:sz w:val="18"/>
          <w:szCs w:val="18"/>
          <w:lang w:val="en-GB"/>
        </w:rPr>
        <w:t>About SENKO</w:t>
      </w:r>
    </w:p>
    <w:p w14:paraId="55C39E9F" w14:textId="0A3B9C4B" w:rsidR="0088496C" w:rsidRPr="00614203" w:rsidRDefault="0088496C" w:rsidP="0088496C">
      <w:pPr>
        <w:spacing w:after="0"/>
        <w:jc w:val="both"/>
        <w:rPr>
          <w:sz w:val="18"/>
          <w:szCs w:val="18"/>
          <w:lang w:val="en-GB"/>
        </w:rPr>
      </w:pPr>
      <w:r w:rsidRPr="00614203">
        <w:rPr>
          <w:sz w:val="18"/>
          <w:szCs w:val="18"/>
          <w:lang w:val="en-GB"/>
        </w:rPr>
        <w:t>SENKO Advanced Components develops, manufactures, markets and distributes hundreds of fiber optic products, providing solutions across the spectrum of fiber optic applications from FTTx, telecom and Datacom applications to broadcast and medical. They aim to be recognized as the global leader for interconnect solutions by providing our customers with the highest quality optical connectivity.</w:t>
      </w:r>
    </w:p>
    <w:p w14:paraId="1664ACCF" w14:textId="4CA929DB" w:rsidR="00E843AA" w:rsidRPr="0088496C" w:rsidRDefault="00E843AA" w:rsidP="0088496C">
      <w:pPr>
        <w:spacing w:after="0"/>
        <w:rPr>
          <w:sz w:val="18"/>
          <w:szCs w:val="16"/>
          <w:lang w:val="en-GB"/>
        </w:rPr>
      </w:pPr>
    </w:p>
    <w:p w14:paraId="38F0B219" w14:textId="77777777" w:rsidR="0088496C" w:rsidRPr="0088496C" w:rsidRDefault="0088496C" w:rsidP="0088496C">
      <w:pPr>
        <w:spacing w:after="0" w:line="360" w:lineRule="auto"/>
        <w:jc w:val="both"/>
        <w:rPr>
          <w:b/>
          <w:bCs/>
          <w:sz w:val="18"/>
          <w:szCs w:val="18"/>
          <w:lang w:val="en-GB"/>
        </w:rPr>
      </w:pPr>
      <w:r w:rsidRPr="0088496C">
        <w:rPr>
          <w:b/>
          <w:bCs/>
          <w:sz w:val="18"/>
          <w:szCs w:val="18"/>
          <w:lang w:val="en-GB"/>
        </w:rPr>
        <w:t>Prysmian Group</w:t>
      </w:r>
    </w:p>
    <w:p w14:paraId="1CA60F7D" w14:textId="63E4D733" w:rsidR="0088496C" w:rsidRPr="0088496C" w:rsidRDefault="0088496C" w:rsidP="0088496C">
      <w:pPr>
        <w:jc w:val="both"/>
        <w:rPr>
          <w:sz w:val="18"/>
          <w:szCs w:val="18"/>
          <w:lang w:val="en-GB"/>
        </w:rPr>
      </w:pPr>
      <w:r w:rsidRPr="0088496C">
        <w:rPr>
          <w:sz w:val="18"/>
          <w:szCs w:val="18"/>
          <w:lang w:val="en-GB"/>
        </w:rPr>
        <w:t>Prysmian Group is world leader in the energy and telecom cable systems industry. With almost 140 years of experience, sales of over €11 billion, about 29,000 employees in over 50 countries and 112 plants, the Group is strongly positioned in high-tech markets and offers the widest possible range of products, services, technologies and know-how. It operates in the businesses of underground and submarine cables and systems for power transmission and distribution, of special cables for applications in many different industries and of medium and low voltage cables for the construction and infrastructure sectors. For the telecommunications industry, the Group manufactures cables and accessories for voice, video and data transmission, offering a comprehensive range of optical fibres, optical and copper cables and connectivity systems. Prysmian is a public company, listed on the Italian Stock Exchange in the FTSE MIB index.</w:t>
      </w:r>
      <w:r>
        <w:rPr>
          <w:sz w:val="18"/>
          <w:szCs w:val="18"/>
          <w:lang w:val="en-GB"/>
        </w:rPr>
        <w:t xml:space="preserve"> </w:t>
      </w:r>
      <w:hyperlink r:id="rId18" w:history="1">
        <w:r w:rsidRPr="00251BAC">
          <w:rPr>
            <w:rStyle w:val="Hyperlink"/>
            <w:rFonts w:ascii="Verdana" w:hAnsi="Verdana" w:cs="Courier"/>
            <w:sz w:val="16"/>
            <w:szCs w:val="16"/>
            <w:lang w:val="en-US"/>
          </w:rPr>
          <w:t>http://www.prysmiangroup.com</w:t>
        </w:r>
      </w:hyperlink>
    </w:p>
    <w:p w14:paraId="716438F2" w14:textId="77777777" w:rsidR="004576F2" w:rsidRPr="000D5A80" w:rsidRDefault="004576F2" w:rsidP="00E843AA">
      <w:pPr>
        <w:spacing w:after="0" w:line="360" w:lineRule="auto"/>
        <w:rPr>
          <w:sz w:val="18"/>
          <w:szCs w:val="16"/>
          <w:lang w:val="en-US"/>
        </w:rPr>
      </w:pPr>
    </w:p>
    <w:p w14:paraId="1EA876A5" w14:textId="77777777" w:rsidR="0088496C" w:rsidRPr="005306C8" w:rsidRDefault="0088496C" w:rsidP="0088496C">
      <w:pPr>
        <w:spacing w:after="0" w:line="360" w:lineRule="auto"/>
        <w:rPr>
          <w:b/>
          <w:bCs/>
          <w:sz w:val="18"/>
          <w:szCs w:val="18"/>
          <w:lang w:val="en-GB"/>
        </w:rPr>
      </w:pPr>
      <w:r w:rsidRPr="005306C8">
        <w:rPr>
          <w:b/>
          <w:bCs/>
          <w:sz w:val="18"/>
          <w:szCs w:val="18"/>
          <w:lang w:val="en-GB"/>
        </w:rPr>
        <w:t>The Global Data Centers division of NTT</w:t>
      </w:r>
    </w:p>
    <w:p w14:paraId="22769B4C" w14:textId="2D695921" w:rsidR="0088496C" w:rsidRPr="00B47B25" w:rsidRDefault="0088496C" w:rsidP="0088496C">
      <w:pPr>
        <w:jc w:val="both"/>
        <w:rPr>
          <w:sz w:val="18"/>
          <w:szCs w:val="18"/>
          <w:lang w:val="en-GB"/>
        </w:rPr>
      </w:pPr>
      <w:r w:rsidRPr="005306C8">
        <w:rPr>
          <w:sz w:val="18"/>
          <w:szCs w:val="18"/>
          <w:lang w:val="en-GB"/>
        </w:rPr>
        <w:t>Global Data Centers, formerly e-shelter, is a division of NTT Ltd. Our combined global platform is one of the largest in the world with over 150 data centers in more than 20 countries and regions including North America, Europe, Africa and APAC.</w:t>
      </w:r>
      <w:r>
        <w:rPr>
          <w:sz w:val="18"/>
          <w:szCs w:val="18"/>
          <w:lang w:val="en-GB"/>
        </w:rPr>
        <w:br/>
      </w:r>
      <w:r w:rsidRPr="005306C8">
        <w:rPr>
          <w:sz w:val="18"/>
          <w:szCs w:val="18"/>
          <w:lang w:val="en-GB"/>
        </w:rPr>
        <w:t>As a carrier- and partner-neutral operator, we offer access to a wide range of cloud providers, Internet Exchanges and telecom operators. Our customers benefit from an infrastructure tailored to their needs and benefit from uniform approaches to planning and operation in all our highly available, scalable and customi</w:t>
      </w:r>
      <w:r w:rsidR="00CA02DF">
        <w:rPr>
          <w:sz w:val="18"/>
          <w:szCs w:val="18"/>
          <w:lang w:val="en-GB"/>
        </w:rPr>
        <w:t>s</w:t>
      </w:r>
      <w:r w:rsidRPr="005306C8">
        <w:rPr>
          <w:sz w:val="18"/>
          <w:szCs w:val="18"/>
          <w:lang w:val="en-GB"/>
        </w:rPr>
        <w:t>able data centers.</w:t>
      </w:r>
      <w:r>
        <w:rPr>
          <w:sz w:val="18"/>
          <w:szCs w:val="18"/>
          <w:lang w:val="en-GB"/>
        </w:rPr>
        <w:t xml:space="preserve"> </w:t>
      </w:r>
      <w:r w:rsidRPr="005306C8">
        <w:rPr>
          <w:sz w:val="18"/>
          <w:szCs w:val="18"/>
          <w:lang w:val="en-GB"/>
        </w:rPr>
        <w:t xml:space="preserve">Together, we enable a networked future. Visit us on our new website </w:t>
      </w:r>
      <w:hyperlink r:id="rId19" w:history="1">
        <w:r w:rsidRPr="00093F34">
          <w:rPr>
            <w:rStyle w:val="Hyperlink"/>
            <w:sz w:val="18"/>
            <w:szCs w:val="18"/>
            <w:lang w:val="en-GB"/>
          </w:rPr>
          <w:t>https://hello.global.ntt/</w:t>
        </w:r>
      </w:hyperlink>
    </w:p>
    <w:p w14:paraId="571108C1" w14:textId="768670F6" w:rsidR="00E843AA" w:rsidRPr="0088496C" w:rsidRDefault="00E843AA" w:rsidP="0088496C">
      <w:pPr>
        <w:rPr>
          <w:rFonts w:cs="Verdana"/>
          <w:sz w:val="18"/>
          <w:szCs w:val="16"/>
          <w:lang w:val="en-GB"/>
        </w:rPr>
      </w:pPr>
    </w:p>
    <w:sectPr w:rsidR="00E843AA" w:rsidRPr="0088496C">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8371A" w14:textId="77777777" w:rsidR="002B2E40" w:rsidRDefault="002B2E40" w:rsidP="00986D29">
      <w:pPr>
        <w:spacing w:after="0" w:line="240" w:lineRule="auto"/>
      </w:pPr>
      <w:r>
        <w:separator/>
      </w:r>
    </w:p>
  </w:endnote>
  <w:endnote w:type="continuationSeparator" w:id="0">
    <w:p w14:paraId="5F1AD9C4" w14:textId="77777777" w:rsidR="002B2E40" w:rsidRDefault="002B2E40" w:rsidP="0098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9C794" w14:textId="77777777" w:rsidR="002B2E40" w:rsidRDefault="002B2E40" w:rsidP="00986D29">
      <w:pPr>
        <w:spacing w:after="0" w:line="240" w:lineRule="auto"/>
      </w:pPr>
      <w:r>
        <w:separator/>
      </w:r>
    </w:p>
  </w:footnote>
  <w:footnote w:type="continuationSeparator" w:id="0">
    <w:p w14:paraId="6178BC0F" w14:textId="77777777" w:rsidR="002B2E40" w:rsidRDefault="002B2E40" w:rsidP="00986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259F0" w14:textId="77777777" w:rsidR="00986D29" w:rsidRDefault="00D86759" w:rsidP="00986D29">
    <w:pPr>
      <w:pStyle w:val="Kopfzeile"/>
      <w:jc w:val="right"/>
      <w:rPr>
        <w:rFonts w:ascii="Verdana" w:hAnsi="Verdana" w:cs="Verdana"/>
        <w:color w:val="808080"/>
        <w:sz w:val="20"/>
        <w:szCs w:val="20"/>
      </w:rPr>
    </w:pPr>
    <w:r>
      <w:rPr>
        <w:noProof/>
      </w:rPr>
      <w:drawing>
        <wp:anchor distT="0" distB="0" distL="114300" distR="114300" simplePos="0" relativeHeight="251659264" behindDoc="1" locked="0" layoutInCell="1" allowOverlap="1" wp14:anchorId="0C8893C5" wp14:editId="6E99951A">
          <wp:simplePos x="0" y="0"/>
          <wp:positionH relativeFrom="column">
            <wp:posOffset>4743450</wp:posOffset>
          </wp:positionH>
          <wp:positionV relativeFrom="paragraph">
            <wp:posOffset>-40640</wp:posOffset>
          </wp:positionV>
          <wp:extent cx="1416050" cy="659130"/>
          <wp:effectExtent l="0" t="0" r="0" b="0"/>
          <wp:wrapTight wrapText="bothSides">
            <wp:wrapPolygon edited="0">
              <wp:start x="0" y="0"/>
              <wp:lineTo x="0" y="21225"/>
              <wp:lineTo x="21213" y="21225"/>
              <wp:lineTo x="21213"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126C7" w14:textId="77777777" w:rsidR="00986D29" w:rsidRDefault="00986D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A6A96"/>
    <w:multiLevelType w:val="hybridMultilevel"/>
    <w:tmpl w:val="958A789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74"/>
    <w:rsid w:val="000366E5"/>
    <w:rsid w:val="00065834"/>
    <w:rsid w:val="0007097A"/>
    <w:rsid w:val="000C77E9"/>
    <w:rsid w:val="000D32DF"/>
    <w:rsid w:val="000D5A80"/>
    <w:rsid w:val="000E6175"/>
    <w:rsid w:val="000E6DE9"/>
    <w:rsid w:val="00110F46"/>
    <w:rsid w:val="00146E07"/>
    <w:rsid w:val="00147BEF"/>
    <w:rsid w:val="00170E62"/>
    <w:rsid w:val="00193369"/>
    <w:rsid w:val="001A10B1"/>
    <w:rsid w:val="001B360D"/>
    <w:rsid w:val="001B3B75"/>
    <w:rsid w:val="001B5BD4"/>
    <w:rsid w:val="001D4F8C"/>
    <w:rsid w:val="002172D4"/>
    <w:rsid w:val="00243617"/>
    <w:rsid w:val="00272182"/>
    <w:rsid w:val="00282603"/>
    <w:rsid w:val="00285498"/>
    <w:rsid w:val="00285FE7"/>
    <w:rsid w:val="002A2413"/>
    <w:rsid w:val="002A7D64"/>
    <w:rsid w:val="002B2E40"/>
    <w:rsid w:val="00303A9C"/>
    <w:rsid w:val="00307055"/>
    <w:rsid w:val="003102BD"/>
    <w:rsid w:val="0031140B"/>
    <w:rsid w:val="0036650E"/>
    <w:rsid w:val="00373792"/>
    <w:rsid w:val="0038551E"/>
    <w:rsid w:val="003B28E2"/>
    <w:rsid w:val="003E5B19"/>
    <w:rsid w:val="0044094C"/>
    <w:rsid w:val="00446425"/>
    <w:rsid w:val="004576F2"/>
    <w:rsid w:val="0047393B"/>
    <w:rsid w:val="00475493"/>
    <w:rsid w:val="004758D5"/>
    <w:rsid w:val="004B7BC3"/>
    <w:rsid w:val="004F00FA"/>
    <w:rsid w:val="00522B1D"/>
    <w:rsid w:val="00536E74"/>
    <w:rsid w:val="005444ED"/>
    <w:rsid w:val="0059088B"/>
    <w:rsid w:val="005B736C"/>
    <w:rsid w:val="005D67AA"/>
    <w:rsid w:val="005D72D9"/>
    <w:rsid w:val="005F317E"/>
    <w:rsid w:val="005F69BF"/>
    <w:rsid w:val="00611FAB"/>
    <w:rsid w:val="00613C70"/>
    <w:rsid w:val="006239A5"/>
    <w:rsid w:val="00627916"/>
    <w:rsid w:val="006377E0"/>
    <w:rsid w:val="00644DEF"/>
    <w:rsid w:val="006C3013"/>
    <w:rsid w:val="006E5DA9"/>
    <w:rsid w:val="0071686D"/>
    <w:rsid w:val="00724AAE"/>
    <w:rsid w:val="00745F7A"/>
    <w:rsid w:val="00765B3F"/>
    <w:rsid w:val="007754D2"/>
    <w:rsid w:val="007808F7"/>
    <w:rsid w:val="00791E8A"/>
    <w:rsid w:val="007C0869"/>
    <w:rsid w:val="007D1D3F"/>
    <w:rsid w:val="007D4313"/>
    <w:rsid w:val="00811C20"/>
    <w:rsid w:val="00823E78"/>
    <w:rsid w:val="008379C6"/>
    <w:rsid w:val="00865A61"/>
    <w:rsid w:val="00867799"/>
    <w:rsid w:val="0088496C"/>
    <w:rsid w:val="008B7D76"/>
    <w:rsid w:val="008F2474"/>
    <w:rsid w:val="00925BD5"/>
    <w:rsid w:val="00932FA1"/>
    <w:rsid w:val="00954CD5"/>
    <w:rsid w:val="00976E76"/>
    <w:rsid w:val="009771D9"/>
    <w:rsid w:val="00986D29"/>
    <w:rsid w:val="00990CD4"/>
    <w:rsid w:val="00992CC5"/>
    <w:rsid w:val="009C546C"/>
    <w:rsid w:val="00A06212"/>
    <w:rsid w:val="00A11729"/>
    <w:rsid w:val="00A52CF4"/>
    <w:rsid w:val="00A7141C"/>
    <w:rsid w:val="00AD1673"/>
    <w:rsid w:val="00B05ADD"/>
    <w:rsid w:val="00B12347"/>
    <w:rsid w:val="00B21354"/>
    <w:rsid w:val="00B82D02"/>
    <w:rsid w:val="00BA3662"/>
    <w:rsid w:val="00BA3B50"/>
    <w:rsid w:val="00BB466E"/>
    <w:rsid w:val="00BC210C"/>
    <w:rsid w:val="00BC5BC1"/>
    <w:rsid w:val="00BD40C9"/>
    <w:rsid w:val="00BF7990"/>
    <w:rsid w:val="00C07FF7"/>
    <w:rsid w:val="00C43B9F"/>
    <w:rsid w:val="00CA02DF"/>
    <w:rsid w:val="00CA737A"/>
    <w:rsid w:val="00CD1D79"/>
    <w:rsid w:val="00CD30E3"/>
    <w:rsid w:val="00CF0287"/>
    <w:rsid w:val="00D03B80"/>
    <w:rsid w:val="00D14992"/>
    <w:rsid w:val="00D34764"/>
    <w:rsid w:val="00D44F6F"/>
    <w:rsid w:val="00D47B2C"/>
    <w:rsid w:val="00D47B87"/>
    <w:rsid w:val="00D86759"/>
    <w:rsid w:val="00D869AD"/>
    <w:rsid w:val="00DC3649"/>
    <w:rsid w:val="00DC3CE1"/>
    <w:rsid w:val="00DC5697"/>
    <w:rsid w:val="00DD424E"/>
    <w:rsid w:val="00DE7D51"/>
    <w:rsid w:val="00DF4A85"/>
    <w:rsid w:val="00E335AF"/>
    <w:rsid w:val="00E80CEB"/>
    <w:rsid w:val="00E82093"/>
    <w:rsid w:val="00E843AA"/>
    <w:rsid w:val="00E940ED"/>
    <w:rsid w:val="00EA43B2"/>
    <w:rsid w:val="00EA7665"/>
    <w:rsid w:val="00EB7D9B"/>
    <w:rsid w:val="00EE0C70"/>
    <w:rsid w:val="00EE4EDA"/>
    <w:rsid w:val="00F416CA"/>
    <w:rsid w:val="00F52541"/>
    <w:rsid w:val="00F82521"/>
    <w:rsid w:val="00FA5864"/>
    <w:rsid w:val="00FC0A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2A7F079"/>
  <w14:defaultImageDpi w14:val="0"/>
  <w15:docId w15:val="{33B4DAEA-47E1-47C0-90E9-EEF4BBBC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2474"/>
    <w:pPr>
      <w:spacing w:after="200" w:line="276"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2474"/>
    <w:pPr>
      <w:spacing w:after="0" w:line="240" w:lineRule="auto"/>
      <w:ind w:left="720"/>
    </w:pPr>
  </w:style>
  <w:style w:type="character" w:styleId="Kommentarzeichen">
    <w:name w:val="annotation reference"/>
    <w:basedOn w:val="Absatz-Standardschriftart"/>
    <w:uiPriority w:val="99"/>
    <w:semiHidden/>
    <w:unhideWhenUsed/>
    <w:rsid w:val="00644DEF"/>
    <w:rPr>
      <w:rFonts w:cs="Times New Roman"/>
      <w:sz w:val="16"/>
      <w:szCs w:val="16"/>
    </w:rPr>
  </w:style>
  <w:style w:type="paragraph" w:styleId="Kommentartext">
    <w:name w:val="annotation text"/>
    <w:basedOn w:val="Standard"/>
    <w:link w:val="KommentartextZchn"/>
    <w:uiPriority w:val="99"/>
    <w:unhideWhenUsed/>
    <w:rsid w:val="00644DEF"/>
    <w:pPr>
      <w:spacing w:line="240" w:lineRule="auto"/>
    </w:pPr>
    <w:rPr>
      <w:sz w:val="20"/>
      <w:szCs w:val="20"/>
    </w:rPr>
  </w:style>
  <w:style w:type="character" w:customStyle="1" w:styleId="KommentartextZchn">
    <w:name w:val="Kommentartext Zchn"/>
    <w:basedOn w:val="Absatz-Standardschriftart"/>
    <w:link w:val="Kommentartext"/>
    <w:uiPriority w:val="99"/>
    <w:locked/>
    <w:rsid w:val="00644DEF"/>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644DEF"/>
    <w:rPr>
      <w:b/>
      <w:bCs/>
    </w:rPr>
  </w:style>
  <w:style w:type="character" w:customStyle="1" w:styleId="KommentarthemaZchn">
    <w:name w:val="Kommentarthema Zchn"/>
    <w:basedOn w:val="KommentartextZchn"/>
    <w:link w:val="Kommentarthema"/>
    <w:uiPriority w:val="99"/>
    <w:semiHidden/>
    <w:locked/>
    <w:rsid w:val="00644DEF"/>
    <w:rPr>
      <w:rFonts w:ascii="Calibri" w:hAnsi="Calibri" w:cs="Calibri"/>
      <w:b/>
      <w:bCs/>
      <w:sz w:val="20"/>
      <w:szCs w:val="20"/>
    </w:rPr>
  </w:style>
  <w:style w:type="paragraph" w:styleId="Sprechblasentext">
    <w:name w:val="Balloon Text"/>
    <w:basedOn w:val="Standard"/>
    <w:link w:val="SprechblasentextZchn"/>
    <w:uiPriority w:val="99"/>
    <w:semiHidden/>
    <w:unhideWhenUsed/>
    <w:rsid w:val="00644D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644DEF"/>
    <w:rPr>
      <w:rFonts w:ascii="Segoe UI" w:hAnsi="Segoe UI" w:cs="Segoe UI"/>
      <w:sz w:val="18"/>
      <w:szCs w:val="18"/>
    </w:rPr>
  </w:style>
  <w:style w:type="character" w:styleId="Hyperlink">
    <w:name w:val="Hyperlink"/>
    <w:basedOn w:val="Absatz-Standardschriftart"/>
    <w:uiPriority w:val="99"/>
    <w:unhideWhenUsed/>
    <w:rsid w:val="00992CC5"/>
    <w:rPr>
      <w:rFonts w:cs="Times New Roman"/>
      <w:color w:val="0563C1" w:themeColor="hyperlink"/>
      <w:u w:val="single"/>
    </w:rPr>
  </w:style>
  <w:style w:type="character" w:customStyle="1" w:styleId="NichtaufgelsteErwhnung1">
    <w:name w:val="Nicht aufgelöste Erwähnung1"/>
    <w:basedOn w:val="Absatz-Standardschriftart"/>
    <w:uiPriority w:val="99"/>
    <w:semiHidden/>
    <w:unhideWhenUsed/>
    <w:rsid w:val="00992CC5"/>
    <w:rPr>
      <w:rFonts w:cs="Times New Roman"/>
      <w:color w:val="605E5C"/>
      <w:shd w:val="clear" w:color="auto" w:fill="E1DFDD"/>
    </w:rPr>
  </w:style>
  <w:style w:type="paragraph" w:styleId="Kopfzeile">
    <w:name w:val="header"/>
    <w:basedOn w:val="Standard"/>
    <w:link w:val="KopfzeileZchn"/>
    <w:uiPriority w:val="99"/>
    <w:unhideWhenUsed/>
    <w:rsid w:val="00986D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986D29"/>
    <w:rPr>
      <w:rFonts w:ascii="Calibri" w:hAnsi="Calibri" w:cs="Calibri"/>
    </w:rPr>
  </w:style>
  <w:style w:type="paragraph" w:styleId="Fuzeile">
    <w:name w:val="footer"/>
    <w:basedOn w:val="Standard"/>
    <w:link w:val="FuzeileZchn"/>
    <w:uiPriority w:val="99"/>
    <w:unhideWhenUsed/>
    <w:rsid w:val="00986D2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986D29"/>
    <w:rPr>
      <w:rFonts w:ascii="Calibri" w:hAnsi="Calibri" w:cs="Calibri"/>
    </w:rPr>
  </w:style>
  <w:style w:type="character" w:styleId="Fett">
    <w:name w:val="Strong"/>
    <w:basedOn w:val="Absatz-Standardschriftart"/>
    <w:uiPriority w:val="22"/>
    <w:qFormat/>
    <w:rsid w:val="00865A61"/>
    <w:rPr>
      <w:rFonts w:cs="Times New Roman"/>
      <w:b/>
      <w:bCs/>
    </w:rPr>
  </w:style>
  <w:style w:type="character" w:styleId="BesuchterLink">
    <w:name w:val="FollowedHyperlink"/>
    <w:basedOn w:val="Absatz-Standardschriftart"/>
    <w:uiPriority w:val="99"/>
    <w:semiHidden/>
    <w:unhideWhenUsed/>
    <w:rsid w:val="00865A61"/>
    <w:rPr>
      <w:rFonts w:cs="Times New Roman"/>
      <w:color w:val="954F72" w:themeColor="followedHyperlink"/>
      <w:u w:val="single"/>
    </w:rPr>
  </w:style>
  <w:style w:type="character" w:styleId="NichtaufgelsteErwhnung">
    <w:name w:val="Unresolved Mention"/>
    <w:basedOn w:val="Absatz-Standardschriftart"/>
    <w:uiPriority w:val="99"/>
    <w:semiHidden/>
    <w:unhideWhenUsed/>
    <w:rsid w:val="00D14992"/>
    <w:rPr>
      <w:rFonts w:cs="Times New Roman"/>
      <w:color w:val="605E5C"/>
      <w:shd w:val="clear" w:color="auto" w:fill="E1DFDD"/>
    </w:rPr>
  </w:style>
  <w:style w:type="paragraph" w:styleId="StandardWeb">
    <w:name w:val="Normal (Web)"/>
    <w:basedOn w:val="Standard"/>
    <w:uiPriority w:val="99"/>
    <w:unhideWhenUsed/>
    <w:rsid w:val="00627916"/>
    <w:pPr>
      <w:spacing w:before="100" w:beforeAutospacing="1" w:after="100" w:afterAutospacing="1" w:line="240" w:lineRule="auto"/>
    </w:pPr>
    <w:rPr>
      <w:rFonts w:ascii="Times New Roman" w:hAnsi="Times New Roman" w:cs="Times New Roman"/>
      <w:sz w:val="24"/>
      <w:szCs w:val="24"/>
      <w:lang w:eastAsia="de-DE"/>
    </w:rPr>
  </w:style>
  <w:style w:type="paragraph" w:styleId="berarbeitung">
    <w:name w:val="Revision"/>
    <w:hidden/>
    <w:uiPriority w:val="99"/>
    <w:semiHidden/>
    <w:rsid w:val="005B736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185248">
      <w:marLeft w:val="0"/>
      <w:marRight w:val="0"/>
      <w:marTop w:val="0"/>
      <w:marBottom w:val="0"/>
      <w:divBdr>
        <w:top w:val="none" w:sz="0" w:space="0" w:color="auto"/>
        <w:left w:val="none" w:sz="0" w:space="0" w:color="auto"/>
        <w:bottom w:val="none" w:sz="0" w:space="0" w:color="auto"/>
        <w:right w:val="none" w:sz="0" w:space="0" w:color="auto"/>
      </w:divBdr>
    </w:div>
    <w:div w:id="1602185249">
      <w:marLeft w:val="0"/>
      <w:marRight w:val="0"/>
      <w:marTop w:val="0"/>
      <w:marBottom w:val="0"/>
      <w:divBdr>
        <w:top w:val="none" w:sz="0" w:space="0" w:color="auto"/>
        <w:left w:val="none" w:sz="0" w:space="0" w:color="auto"/>
        <w:bottom w:val="none" w:sz="0" w:space="0" w:color="auto"/>
        <w:right w:val="none" w:sz="0" w:space="0" w:color="auto"/>
      </w:divBdr>
    </w:div>
    <w:div w:id="1602185250">
      <w:marLeft w:val="0"/>
      <w:marRight w:val="0"/>
      <w:marTop w:val="0"/>
      <w:marBottom w:val="0"/>
      <w:divBdr>
        <w:top w:val="none" w:sz="0" w:space="0" w:color="auto"/>
        <w:left w:val="none" w:sz="0" w:space="0" w:color="auto"/>
        <w:bottom w:val="none" w:sz="0" w:space="0" w:color="auto"/>
        <w:right w:val="none" w:sz="0" w:space="0" w:color="auto"/>
      </w:divBdr>
    </w:div>
    <w:div w:id="1602185251">
      <w:marLeft w:val="0"/>
      <w:marRight w:val="0"/>
      <w:marTop w:val="0"/>
      <w:marBottom w:val="0"/>
      <w:divBdr>
        <w:top w:val="none" w:sz="0" w:space="0" w:color="auto"/>
        <w:left w:val="none" w:sz="0" w:space="0" w:color="auto"/>
        <w:bottom w:val="none" w:sz="0" w:space="0" w:color="auto"/>
        <w:right w:val="none" w:sz="0" w:space="0" w:color="auto"/>
      </w:divBdr>
    </w:div>
    <w:div w:id="16021852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ghttalk.com/webcast/15381/464444" TargetMode="External"/><Relationship Id="rId13" Type="http://schemas.openxmlformats.org/officeDocument/2006/relationships/hyperlink" Target="mailto:info@tde.de" TargetMode="External"/><Relationship Id="rId18" Type="http://schemas.openxmlformats.org/officeDocument/2006/relationships/hyperlink" Target="http://www.prysmiangroup.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righttalk.com/webcast/15381/464444" TargetMode="External"/><Relationship Id="rId12" Type="http://schemas.openxmlformats.org/officeDocument/2006/relationships/hyperlink" Target="https://www.xing.com/companies/tde-transdataelektronikgmbh/updates" TargetMode="External"/><Relationship Id="rId17" Type="http://schemas.openxmlformats.org/officeDocument/2006/relationships/hyperlink" Target="http://www.epr-online.de/" TargetMode="External"/><Relationship Id="rId2" Type="http://schemas.openxmlformats.org/officeDocument/2006/relationships/styles" Target="styles.xml"/><Relationship Id="rId16" Type="http://schemas.openxmlformats.org/officeDocument/2006/relationships/hyperlink" Target="mailto:fs@epr-online.d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tdeConnect" TargetMode="External"/><Relationship Id="rId5" Type="http://schemas.openxmlformats.org/officeDocument/2006/relationships/footnotes" Target="footnotes.xml"/><Relationship Id="rId15" Type="http://schemas.openxmlformats.org/officeDocument/2006/relationships/hyperlink" Target="mailto:sh@epr-online.de" TargetMode="External"/><Relationship Id="rId10" Type="http://schemas.openxmlformats.org/officeDocument/2006/relationships/hyperlink" Target="https://www.linkedin.com/company/tde-trans-data-elektronik-gmbh/" TargetMode="External"/><Relationship Id="rId19" Type="http://schemas.openxmlformats.org/officeDocument/2006/relationships/hyperlink" Target="https://hello.global.ntt/" TargetMode="External"/><Relationship Id="rId4" Type="http://schemas.openxmlformats.org/officeDocument/2006/relationships/webSettings" Target="webSettings.xml"/><Relationship Id="rId9" Type="http://schemas.openxmlformats.org/officeDocument/2006/relationships/hyperlink" Target="http://www.tde.de/" TargetMode="External"/><Relationship Id="rId14" Type="http://schemas.openxmlformats.org/officeDocument/2006/relationships/hyperlink" Target="http://www.tde.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7507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Schütz | epr - elsaesser public relations</dc:creator>
  <cp:keywords/>
  <dc:description/>
  <cp:lastModifiedBy>Frauke Schütz | epr - elsaesser public relations</cp:lastModifiedBy>
  <cp:revision>14</cp:revision>
  <dcterms:created xsi:type="dcterms:W3CDTF">2021-02-01T08:17:00Z</dcterms:created>
  <dcterms:modified xsi:type="dcterms:W3CDTF">2021-02-01T12:52:00Z</dcterms:modified>
</cp:coreProperties>
</file>