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0F4E1" w14:textId="77777777" w:rsidR="00986D29" w:rsidRDefault="00986D29" w:rsidP="0047393B">
      <w:pPr>
        <w:spacing w:line="360" w:lineRule="auto"/>
        <w:rPr>
          <w:b/>
          <w:bCs/>
          <w:u w:val="single"/>
        </w:rPr>
      </w:pPr>
    </w:p>
    <w:p w14:paraId="5D7F33ED" w14:textId="77777777" w:rsidR="00986D29" w:rsidRDefault="00986D29" w:rsidP="00986D29">
      <w:pPr>
        <w:spacing w:line="360" w:lineRule="auto"/>
        <w:jc w:val="right"/>
        <w:rPr>
          <w:b/>
          <w:bCs/>
          <w:u w:val="single"/>
        </w:rPr>
      </w:pPr>
      <w:r w:rsidRPr="00DE7D51">
        <w:rPr>
          <w:rFonts w:ascii="Verdana" w:hAnsi="Verdana" w:cs="Verdana"/>
          <w:color w:val="808080"/>
          <w:sz w:val="20"/>
          <w:szCs w:val="20"/>
        </w:rPr>
        <w:t>Pressemitteilung</w:t>
      </w:r>
    </w:p>
    <w:p w14:paraId="73F80348" w14:textId="77777777" w:rsidR="00E843AA" w:rsidRPr="00F82521" w:rsidRDefault="00986D29" w:rsidP="00E843AA">
      <w:pPr>
        <w:spacing w:after="0" w:line="240" w:lineRule="auto"/>
        <w:rPr>
          <w:rFonts w:cs="Times New Roman"/>
          <w:b/>
          <w:bCs/>
          <w:u w:val="single"/>
        </w:rPr>
      </w:pPr>
      <w:r>
        <w:rPr>
          <w:b/>
          <w:bCs/>
          <w:u w:val="single"/>
        </w:rPr>
        <w:br/>
      </w:r>
      <w:r w:rsidR="00E843AA" w:rsidRPr="00F82521">
        <w:rPr>
          <w:rFonts w:cs="Times New Roman"/>
          <w:b/>
          <w:bCs/>
          <w:u w:val="single"/>
        </w:rPr>
        <w:t xml:space="preserve">Kabel-, Stecker- und Netzwerkexperten </w:t>
      </w:r>
      <w:r w:rsidR="00E843AA">
        <w:rPr>
          <w:rFonts w:cs="Times New Roman"/>
          <w:b/>
          <w:bCs/>
          <w:u w:val="single"/>
        </w:rPr>
        <w:t xml:space="preserve">präsentieren im Online-Seminar Lösungen für stabile und zukunftsfähige Netzwerke </w:t>
      </w:r>
    </w:p>
    <w:p w14:paraId="0CA2C87C" w14:textId="77777777" w:rsidR="00E843AA" w:rsidRDefault="00E843AA" w:rsidP="00E843AA">
      <w:pPr>
        <w:spacing w:after="0" w:line="240" w:lineRule="auto"/>
        <w:rPr>
          <w:rFonts w:cs="Times New Roman"/>
          <w:sz w:val="24"/>
          <w:szCs w:val="24"/>
        </w:rPr>
      </w:pPr>
    </w:p>
    <w:p w14:paraId="5BF2031A" w14:textId="77777777" w:rsidR="00E843AA" w:rsidRDefault="00E843AA" w:rsidP="00E843AA">
      <w:pPr>
        <w:spacing w:after="0" w:line="240" w:lineRule="auto"/>
        <w:rPr>
          <w:rFonts w:cs="Times New Roman"/>
          <w:b/>
          <w:bCs/>
          <w:sz w:val="32"/>
          <w:szCs w:val="32"/>
        </w:rPr>
      </w:pPr>
      <w:r w:rsidRPr="00F82521">
        <w:rPr>
          <w:rFonts w:cs="Times New Roman"/>
          <w:b/>
          <w:bCs/>
          <w:sz w:val="32"/>
          <w:szCs w:val="32"/>
        </w:rPr>
        <w:t>Gut gerüstet ins Terabit-Zeitalter</w:t>
      </w:r>
      <w:r>
        <w:rPr>
          <w:rFonts w:cs="Times New Roman"/>
          <w:b/>
          <w:bCs/>
          <w:sz w:val="32"/>
          <w:szCs w:val="32"/>
        </w:rPr>
        <w:t xml:space="preserve">: </w:t>
      </w:r>
      <w:r w:rsidRPr="00F82521">
        <w:rPr>
          <w:rFonts w:cs="Times New Roman"/>
          <w:b/>
          <w:bCs/>
          <w:sz w:val="32"/>
          <w:szCs w:val="32"/>
        </w:rPr>
        <w:t xml:space="preserve">tde, Senko und </w:t>
      </w:r>
      <w:r>
        <w:rPr>
          <w:rFonts w:cs="Times New Roman"/>
          <w:b/>
          <w:bCs/>
          <w:sz w:val="32"/>
          <w:szCs w:val="32"/>
        </w:rPr>
        <w:t xml:space="preserve">Prysmian Group laden zum NTT Webcast </w:t>
      </w:r>
    </w:p>
    <w:p w14:paraId="6E6DF647" w14:textId="77777777" w:rsidR="00E843AA" w:rsidRDefault="00E843AA" w:rsidP="00E843AA">
      <w:pPr>
        <w:spacing w:after="0" w:line="240" w:lineRule="auto"/>
        <w:rPr>
          <w:rFonts w:cs="Times New Roman"/>
          <w:b/>
          <w:bCs/>
          <w:sz w:val="32"/>
          <w:szCs w:val="32"/>
        </w:rPr>
      </w:pPr>
    </w:p>
    <w:p w14:paraId="0B8DE8F9" w14:textId="28FC1858" w:rsidR="00E843AA" w:rsidRDefault="00E843AA" w:rsidP="00E843AA">
      <w:pPr>
        <w:spacing w:after="0" w:line="360" w:lineRule="auto"/>
        <w:rPr>
          <w:rFonts w:cs="Times New Roman"/>
          <w:b/>
          <w:bCs/>
          <w:sz w:val="24"/>
          <w:szCs w:val="24"/>
        </w:rPr>
      </w:pPr>
      <w:r w:rsidRPr="00F82521">
        <w:rPr>
          <w:rFonts w:cs="Times New Roman"/>
          <w:b/>
          <w:bCs/>
          <w:sz w:val="24"/>
          <w:szCs w:val="24"/>
        </w:rPr>
        <w:t xml:space="preserve">Dortmund, </w:t>
      </w:r>
      <w:r w:rsidR="001B5BD4">
        <w:rPr>
          <w:rFonts w:cs="Times New Roman"/>
          <w:b/>
          <w:bCs/>
          <w:sz w:val="24"/>
          <w:szCs w:val="24"/>
        </w:rPr>
        <w:t>01</w:t>
      </w:r>
      <w:r w:rsidRPr="00F82521">
        <w:rPr>
          <w:rFonts w:cs="Times New Roman"/>
          <w:b/>
          <w:bCs/>
          <w:sz w:val="24"/>
          <w:szCs w:val="24"/>
        </w:rPr>
        <w:t xml:space="preserve">. </w:t>
      </w:r>
      <w:r w:rsidR="001B5BD4">
        <w:rPr>
          <w:rFonts w:cs="Times New Roman"/>
          <w:b/>
          <w:bCs/>
          <w:sz w:val="24"/>
          <w:szCs w:val="24"/>
        </w:rPr>
        <w:t xml:space="preserve">Februar </w:t>
      </w:r>
      <w:r w:rsidRPr="00F82521">
        <w:rPr>
          <w:rFonts w:cs="Times New Roman"/>
          <w:b/>
          <w:bCs/>
          <w:sz w:val="24"/>
          <w:szCs w:val="24"/>
        </w:rPr>
        <w:t>202</w:t>
      </w:r>
      <w:r w:rsidR="005D0245">
        <w:rPr>
          <w:rFonts w:cs="Times New Roman"/>
          <w:b/>
          <w:bCs/>
          <w:sz w:val="24"/>
          <w:szCs w:val="24"/>
        </w:rPr>
        <w:t>1</w:t>
      </w:r>
      <w:r w:rsidRPr="00F82521">
        <w:rPr>
          <w:rFonts w:cs="Times New Roman"/>
          <w:b/>
          <w:bCs/>
          <w:sz w:val="24"/>
          <w:szCs w:val="24"/>
        </w:rPr>
        <w:t xml:space="preserve">. </w:t>
      </w:r>
      <w:r w:rsidRPr="003B28E2">
        <w:rPr>
          <w:rFonts w:cs="Times New Roman"/>
          <w:b/>
          <w:bCs/>
          <w:sz w:val="24"/>
          <w:szCs w:val="24"/>
        </w:rPr>
        <w:t>Wie sich eine schnelle, zukunftssichere und hochverfügbare Kommunikationsverkabelung mit 100-prozentiger Ausfallsicherheit und damit ein stabiles Backbone für jedes Unternehmensnetzwerk s</w:t>
      </w:r>
      <w:r>
        <w:rPr>
          <w:rFonts w:cs="Times New Roman"/>
          <w:b/>
          <w:bCs/>
          <w:sz w:val="24"/>
          <w:szCs w:val="24"/>
        </w:rPr>
        <w:t>c</w:t>
      </w:r>
      <w:r w:rsidRPr="003B28E2">
        <w:rPr>
          <w:rFonts w:cs="Times New Roman"/>
          <w:b/>
          <w:bCs/>
          <w:sz w:val="24"/>
          <w:szCs w:val="24"/>
        </w:rPr>
        <w:t>haffen</w:t>
      </w:r>
      <w:r>
        <w:rPr>
          <w:rFonts w:cs="Times New Roman"/>
          <w:b/>
          <w:bCs/>
          <w:sz w:val="24"/>
          <w:szCs w:val="24"/>
        </w:rPr>
        <w:t xml:space="preserve"> </w:t>
      </w:r>
      <w:r w:rsidRPr="003B28E2">
        <w:rPr>
          <w:rFonts w:cs="Times New Roman"/>
          <w:b/>
          <w:bCs/>
          <w:sz w:val="24"/>
          <w:szCs w:val="24"/>
        </w:rPr>
        <w:t xml:space="preserve">lässt, zeigen tde, Senko und </w:t>
      </w:r>
      <w:r>
        <w:rPr>
          <w:rFonts w:cs="Times New Roman"/>
          <w:b/>
          <w:bCs/>
          <w:sz w:val="24"/>
          <w:szCs w:val="24"/>
        </w:rPr>
        <w:t xml:space="preserve">die </w:t>
      </w:r>
      <w:r w:rsidRPr="003B28E2">
        <w:rPr>
          <w:rFonts w:cs="Times New Roman"/>
          <w:b/>
          <w:bCs/>
          <w:sz w:val="24"/>
          <w:szCs w:val="24"/>
        </w:rPr>
        <w:t xml:space="preserve">Prysmian </w:t>
      </w:r>
      <w:r>
        <w:rPr>
          <w:rFonts w:cs="Times New Roman"/>
          <w:b/>
          <w:bCs/>
          <w:sz w:val="24"/>
          <w:szCs w:val="24"/>
        </w:rPr>
        <w:t>G</w:t>
      </w:r>
      <w:r w:rsidRPr="003B28E2">
        <w:rPr>
          <w:rFonts w:cs="Times New Roman"/>
          <w:b/>
          <w:bCs/>
          <w:sz w:val="24"/>
          <w:szCs w:val="24"/>
        </w:rPr>
        <w:t>roup</w:t>
      </w:r>
      <w:r>
        <w:rPr>
          <w:rFonts w:cs="Times New Roman"/>
          <w:b/>
          <w:bCs/>
          <w:sz w:val="24"/>
          <w:szCs w:val="24"/>
        </w:rPr>
        <w:t>, BU Multimedia Solutions (MMS)</w:t>
      </w:r>
      <w:r w:rsidRPr="003B28E2">
        <w:rPr>
          <w:rFonts w:cs="Times New Roman"/>
          <w:b/>
          <w:bCs/>
          <w:sz w:val="24"/>
          <w:szCs w:val="24"/>
        </w:rPr>
        <w:t>: Am 10. Febru</w:t>
      </w:r>
      <w:r>
        <w:rPr>
          <w:rFonts w:cs="Times New Roman"/>
          <w:b/>
          <w:bCs/>
          <w:sz w:val="24"/>
          <w:szCs w:val="24"/>
        </w:rPr>
        <w:t>a</w:t>
      </w:r>
      <w:r w:rsidRPr="003B28E2">
        <w:rPr>
          <w:rFonts w:cs="Times New Roman"/>
          <w:b/>
          <w:bCs/>
          <w:sz w:val="24"/>
          <w:szCs w:val="24"/>
        </w:rPr>
        <w:t>r</w:t>
      </w:r>
      <w:r>
        <w:rPr>
          <w:rFonts w:cs="Times New Roman"/>
          <w:b/>
          <w:bCs/>
          <w:sz w:val="24"/>
          <w:szCs w:val="24"/>
        </w:rPr>
        <w:t xml:space="preserve"> um </w:t>
      </w:r>
      <w:r w:rsidR="004576F2">
        <w:rPr>
          <w:rFonts w:cs="Times New Roman"/>
          <w:b/>
          <w:bCs/>
          <w:sz w:val="24"/>
          <w:szCs w:val="24"/>
        </w:rPr>
        <w:t>1</w:t>
      </w:r>
      <w:r w:rsidR="001B5BD4">
        <w:rPr>
          <w:rFonts w:cs="Times New Roman"/>
          <w:b/>
          <w:bCs/>
          <w:sz w:val="24"/>
          <w:szCs w:val="24"/>
        </w:rPr>
        <w:t>0</w:t>
      </w:r>
      <w:r>
        <w:rPr>
          <w:rFonts w:cs="Times New Roman"/>
          <w:b/>
          <w:bCs/>
          <w:sz w:val="24"/>
          <w:szCs w:val="24"/>
        </w:rPr>
        <w:t xml:space="preserve"> Uhr laden der Netzwerkspezialist tde, Komponentenpartner Senko und Kabelexperte BU MMS Interessierte unter dem Titel „</w:t>
      </w:r>
      <w:r w:rsidR="004576F2">
        <w:rPr>
          <w:rFonts w:cs="Times New Roman"/>
          <w:b/>
          <w:bCs/>
          <w:sz w:val="24"/>
          <w:szCs w:val="24"/>
        </w:rPr>
        <w:t>Cabling in the Data Center – Efficient by Design</w:t>
      </w:r>
      <w:r>
        <w:rPr>
          <w:rFonts w:cs="Times New Roman"/>
          <w:b/>
          <w:bCs/>
          <w:sz w:val="24"/>
          <w:szCs w:val="24"/>
        </w:rPr>
        <w:t xml:space="preserve">“ zu einem Webcast im Rahmen des NTT Technology Experience Lab. In ihren Vorträgen informieren die Technologiepartner zu High-Density-Lösungen in Data Centres, erläutern die Vorteile der strukturierten Verkabelung und stehen für Fragen zu den Themen Hochverfügbarkeit, Ausfallsicherheit sowie Energieeffizienz zur Verfügung. Interessierte können sich ab sofort kostenlos unter </w:t>
      </w:r>
      <w:hyperlink r:id="rId7" w:history="1">
        <w:r w:rsidR="004576F2" w:rsidRPr="00811C20">
          <w:rPr>
            <w:rStyle w:val="Hyperlink"/>
            <w:b/>
            <w:bCs/>
            <w:sz w:val="24"/>
            <w:szCs w:val="24"/>
          </w:rPr>
          <w:t>https://www.brighttalk.com/webcast/15381/464444</w:t>
        </w:r>
      </w:hyperlink>
      <w:r w:rsidR="004576F2">
        <w:rPr>
          <w:rFonts w:cs="Times New Roman"/>
          <w:b/>
          <w:bCs/>
          <w:sz w:val="24"/>
          <w:szCs w:val="24"/>
        </w:rPr>
        <w:t xml:space="preserve"> </w:t>
      </w:r>
      <w:r>
        <w:rPr>
          <w:rFonts w:cs="Times New Roman"/>
          <w:b/>
          <w:bCs/>
          <w:sz w:val="24"/>
          <w:szCs w:val="24"/>
        </w:rPr>
        <w:t xml:space="preserve">anmelden und die Agenda einsehen. </w:t>
      </w:r>
    </w:p>
    <w:p w14:paraId="5E2F5094" w14:textId="77777777" w:rsidR="00E843AA" w:rsidRPr="00F82521" w:rsidRDefault="00E843AA" w:rsidP="00E843AA">
      <w:pPr>
        <w:spacing w:after="0" w:line="240" w:lineRule="auto"/>
        <w:rPr>
          <w:rFonts w:cs="Times New Roman"/>
          <w:b/>
          <w:bCs/>
          <w:sz w:val="24"/>
          <w:szCs w:val="24"/>
        </w:rPr>
      </w:pPr>
    </w:p>
    <w:p w14:paraId="5833197A" w14:textId="77777777" w:rsidR="001B5BD4" w:rsidRDefault="00E843AA" w:rsidP="00E843AA">
      <w:pPr>
        <w:spacing w:after="0" w:line="360" w:lineRule="auto"/>
        <w:rPr>
          <w:rFonts w:cs="Times New Roman"/>
          <w:sz w:val="24"/>
          <w:szCs w:val="24"/>
        </w:rPr>
      </w:pPr>
      <w:r w:rsidRPr="00BD40C9">
        <w:rPr>
          <w:rFonts w:cs="Times New Roman"/>
          <w:sz w:val="24"/>
          <w:szCs w:val="24"/>
        </w:rPr>
        <w:t xml:space="preserve">2020 haben die tde und Senko eine strukturierte Verkabelung basierend auf den tML-24-, tML-32-Systemen sowie dem Patchkabelmanagement tPM im Zentralverteiler und in ausgewählten Hersteller-Schränken des </w:t>
      </w:r>
      <w:r>
        <w:rPr>
          <w:rFonts w:cs="Times New Roman"/>
          <w:sz w:val="24"/>
          <w:szCs w:val="24"/>
        </w:rPr>
        <w:t xml:space="preserve">NTT Experience Lab in </w:t>
      </w:r>
      <w:r w:rsidRPr="00BD40C9">
        <w:rPr>
          <w:rFonts w:cs="Times New Roman"/>
          <w:sz w:val="24"/>
          <w:szCs w:val="24"/>
        </w:rPr>
        <w:t>Frankfurt installiert.</w:t>
      </w:r>
      <w:r>
        <w:rPr>
          <w:rFonts w:cs="Times New Roman"/>
          <w:sz w:val="24"/>
          <w:szCs w:val="24"/>
        </w:rPr>
        <w:t xml:space="preserve"> Unternehmen können so ihre Digitalisierungsvorhaben erfolgreich testen, effiziente Cloud-Strategien entwickeln und Anwendungsbeispiele (Use-Cases) validieren. </w:t>
      </w:r>
      <w:r>
        <w:rPr>
          <w:rFonts w:cs="Times New Roman"/>
          <w:sz w:val="24"/>
          <w:szCs w:val="24"/>
        </w:rPr>
        <w:br/>
        <w:t xml:space="preserve">Jetzt informieren die Technologiepartner in einem Webcast zu dem installierten Verkabelungskonzept auf Basis der MPO-Mehrfasertechnologie: „Die Anforderungen an die hochverfügbare und ausfallsichere Verkabelungsinfrastruktur sind und bleiben weiterhin hoch. Damit Unternehmen gut gerüstet ins Terabit-Zeitalter kommen, sollten sie auf zuverlässige Kabel, innovative Steckverbinder im Patchbereich und die bewährte Mehrfasertechnik im Rückraum setzen. Gemeinsam mit den Experten der Prysmian Group, </w:t>
      </w:r>
      <w:r w:rsidR="001B5BD4">
        <w:rPr>
          <w:rFonts w:cs="Times New Roman"/>
          <w:sz w:val="24"/>
          <w:szCs w:val="24"/>
        </w:rPr>
        <w:br/>
      </w:r>
    </w:p>
    <w:p w14:paraId="3B6543BF" w14:textId="77777777" w:rsidR="001B5BD4" w:rsidRDefault="001B5BD4" w:rsidP="00E843AA">
      <w:pPr>
        <w:spacing w:after="0" w:line="360" w:lineRule="auto"/>
        <w:rPr>
          <w:rFonts w:cs="Times New Roman"/>
          <w:sz w:val="24"/>
          <w:szCs w:val="24"/>
        </w:rPr>
      </w:pPr>
    </w:p>
    <w:p w14:paraId="36E4DBD7" w14:textId="77777777" w:rsidR="001B5BD4" w:rsidRDefault="001B5BD4" w:rsidP="00E843AA">
      <w:pPr>
        <w:spacing w:after="0" w:line="360" w:lineRule="auto"/>
        <w:rPr>
          <w:rFonts w:cs="Times New Roman"/>
          <w:sz w:val="24"/>
          <w:szCs w:val="24"/>
        </w:rPr>
      </w:pPr>
    </w:p>
    <w:p w14:paraId="04D29EB3" w14:textId="77777777" w:rsidR="00E843AA" w:rsidRDefault="00E843AA" w:rsidP="00E843AA">
      <w:pPr>
        <w:spacing w:after="0" w:line="360" w:lineRule="auto"/>
        <w:rPr>
          <w:rFonts w:cs="Times New Roman"/>
          <w:sz w:val="24"/>
          <w:szCs w:val="24"/>
        </w:rPr>
      </w:pPr>
      <w:r>
        <w:rPr>
          <w:rFonts w:cs="Times New Roman"/>
          <w:sz w:val="24"/>
          <w:szCs w:val="24"/>
        </w:rPr>
        <w:t xml:space="preserve">BU Multimedia Solutions und Senko zeigen wir, worauf hierbei zu achten ist“, sagt André Engel, Geschäftsführer der tde. </w:t>
      </w:r>
    </w:p>
    <w:p w14:paraId="1F1EF978" w14:textId="167B9B69" w:rsidR="00E843AA" w:rsidRDefault="001B5BD4" w:rsidP="00E843AA">
      <w:pPr>
        <w:spacing w:after="0" w:line="360" w:lineRule="auto"/>
        <w:rPr>
          <w:rFonts w:cs="Times New Roman"/>
          <w:sz w:val="24"/>
          <w:szCs w:val="24"/>
        </w:rPr>
      </w:pPr>
      <w:r>
        <w:rPr>
          <w:rFonts w:cs="Times New Roman"/>
          <w:i/>
          <w:iCs/>
          <w:sz w:val="24"/>
          <w:szCs w:val="24"/>
        </w:rPr>
        <w:br/>
      </w:r>
      <w:r w:rsidR="00E843AA" w:rsidRPr="00BB466E">
        <w:rPr>
          <w:rFonts w:cs="Times New Roman"/>
          <w:i/>
          <w:iCs/>
          <w:sz w:val="24"/>
          <w:szCs w:val="24"/>
        </w:rPr>
        <w:t>Ganzheit</w:t>
      </w:r>
      <w:r w:rsidR="00E843AA">
        <w:rPr>
          <w:rFonts w:cs="Times New Roman"/>
          <w:i/>
          <w:iCs/>
          <w:sz w:val="24"/>
          <w:szCs w:val="24"/>
        </w:rPr>
        <w:t>l</w:t>
      </w:r>
      <w:r w:rsidR="00E843AA" w:rsidRPr="00BB466E">
        <w:rPr>
          <w:rFonts w:cs="Times New Roman"/>
          <w:i/>
          <w:iCs/>
          <w:sz w:val="24"/>
          <w:szCs w:val="24"/>
        </w:rPr>
        <w:t xml:space="preserve">icher </w:t>
      </w:r>
      <w:r w:rsidR="00E843AA">
        <w:rPr>
          <w:rFonts w:cs="Times New Roman"/>
          <w:i/>
          <w:iCs/>
          <w:sz w:val="24"/>
          <w:szCs w:val="24"/>
        </w:rPr>
        <w:t>Webcast-</w:t>
      </w:r>
      <w:r w:rsidR="00E843AA" w:rsidRPr="00BB466E">
        <w:rPr>
          <w:rFonts w:cs="Times New Roman"/>
          <w:i/>
          <w:iCs/>
          <w:sz w:val="24"/>
          <w:szCs w:val="24"/>
        </w:rPr>
        <w:t xml:space="preserve">Ansatz </w:t>
      </w:r>
      <w:r w:rsidR="00E843AA">
        <w:rPr>
          <w:rFonts w:cs="Times New Roman"/>
          <w:i/>
          <w:iCs/>
          <w:sz w:val="24"/>
          <w:szCs w:val="24"/>
        </w:rPr>
        <w:br/>
      </w:r>
      <w:r w:rsidR="00E843AA">
        <w:rPr>
          <w:rFonts w:cs="Times New Roman"/>
          <w:sz w:val="24"/>
          <w:szCs w:val="24"/>
        </w:rPr>
        <w:t xml:space="preserve">Um das Ökosystem Verkabelungsinfrastruktur ganzheitlich zu beleuchten, hat die tde auch den Technologiepartner BU Multimedia Solutions der Prysmian Group als Webcast-Partner hinzugewinnen können. Gerard Pera, </w:t>
      </w:r>
      <w:r w:rsidR="00E843AA" w:rsidRPr="00976E76">
        <w:rPr>
          <w:rFonts w:asciiTheme="minorHAnsi" w:hAnsiTheme="minorHAnsi" w:cs="Times New Roman"/>
          <w:sz w:val="24"/>
          <w:szCs w:val="24"/>
        </w:rPr>
        <w:t>Product Manager LWL-Datenkabel der BU MMS, eröffnet den Webcast mit einer Präsentation zum Thema „</w:t>
      </w:r>
      <w:r w:rsidR="00227D9A">
        <w:rPr>
          <w:rFonts w:asciiTheme="minorHAnsi" w:hAnsiTheme="minorHAnsi" w:cs="Times New Roman"/>
          <w:sz w:val="24"/>
          <w:szCs w:val="24"/>
        </w:rPr>
        <w:t>Glasf</w:t>
      </w:r>
      <w:r w:rsidR="00E843AA" w:rsidRPr="00976E76">
        <w:rPr>
          <w:rFonts w:asciiTheme="minorHAnsi" w:hAnsiTheme="minorHAnsi" w:cs="Times New Roman"/>
          <w:sz w:val="24"/>
          <w:szCs w:val="24"/>
        </w:rPr>
        <w:t>aser</w:t>
      </w:r>
      <w:r w:rsidR="00227D9A">
        <w:rPr>
          <w:rFonts w:asciiTheme="minorHAnsi" w:hAnsiTheme="minorHAnsi" w:cs="Times New Roman"/>
          <w:sz w:val="24"/>
          <w:szCs w:val="24"/>
        </w:rPr>
        <w:t>kabel</w:t>
      </w:r>
      <w:r w:rsidR="00E843AA" w:rsidRPr="00976E76">
        <w:rPr>
          <w:rFonts w:asciiTheme="minorHAnsi" w:hAnsiTheme="minorHAnsi" w:cs="Times New Roman"/>
          <w:sz w:val="24"/>
          <w:szCs w:val="24"/>
        </w:rPr>
        <w:t xml:space="preserve">-Miniaturisierung in High-Speed-Netzwerken“. Er informiert über die technologische Entwicklung der Draka-Glasfaserkabel hin zu kleineren und verbesserten </w:t>
      </w:r>
      <w:r w:rsidR="00227D9A">
        <w:rPr>
          <w:rFonts w:asciiTheme="minorHAnsi" w:hAnsiTheme="minorHAnsi" w:cs="Times New Roman"/>
          <w:sz w:val="24"/>
          <w:szCs w:val="24"/>
        </w:rPr>
        <w:t>A</w:t>
      </w:r>
      <w:r w:rsidR="00E843AA" w:rsidRPr="00976E76">
        <w:rPr>
          <w:rFonts w:asciiTheme="minorHAnsi" w:hAnsiTheme="minorHAnsi" w:cs="Times New Roman"/>
          <w:sz w:val="24"/>
          <w:szCs w:val="24"/>
        </w:rPr>
        <w:t xml:space="preserve">bmessungen, </w:t>
      </w:r>
      <w:r w:rsidRPr="001B5BD4">
        <w:rPr>
          <w:rFonts w:asciiTheme="minorHAnsi" w:hAnsiTheme="minorHAnsi" w:cs="Times New Roman"/>
          <w:sz w:val="24"/>
          <w:szCs w:val="24"/>
        </w:rPr>
        <w:t>High-Density-Lösungen und weitere Multimedia-Lösungen für Rechenzentren und damit</w:t>
      </w:r>
      <w:r>
        <w:rPr>
          <w:rFonts w:ascii="Verdana" w:hAnsi="Verdana"/>
          <w:sz w:val="20"/>
          <w:szCs w:val="20"/>
        </w:rPr>
        <w:t xml:space="preserve"> verbundene Anwendungen</w:t>
      </w:r>
      <w:r w:rsidR="00E843AA" w:rsidRPr="00976E76">
        <w:rPr>
          <w:rFonts w:asciiTheme="minorHAnsi" w:hAnsiTheme="minorHAnsi" w:cs="Times New Roman"/>
          <w:sz w:val="24"/>
          <w:szCs w:val="24"/>
        </w:rPr>
        <w:t>. Außerdem gibt er Einblicke in den aktuellen Stand der paralleloptischen Verkabelung</w:t>
      </w:r>
      <w:r w:rsidR="00E843AA">
        <w:rPr>
          <w:rFonts w:ascii="Verdana" w:hAnsi="Verdana"/>
          <w:sz w:val="20"/>
          <w:szCs w:val="20"/>
        </w:rPr>
        <w:t xml:space="preserve">. </w:t>
      </w:r>
    </w:p>
    <w:p w14:paraId="02552C2A" w14:textId="77777777" w:rsidR="00E843AA" w:rsidRPr="007754D2" w:rsidRDefault="00E843AA" w:rsidP="00E843AA">
      <w:pPr>
        <w:spacing w:after="0" w:line="360" w:lineRule="auto"/>
        <w:rPr>
          <w:rFonts w:cs="Times New Roman"/>
          <w:i/>
          <w:iCs/>
          <w:sz w:val="24"/>
          <w:szCs w:val="24"/>
        </w:rPr>
      </w:pPr>
    </w:p>
    <w:p w14:paraId="188C0A3F" w14:textId="3A3397D6" w:rsidR="001B5BD4" w:rsidRDefault="00E843AA" w:rsidP="00E843AA">
      <w:pPr>
        <w:spacing w:after="0" w:line="360" w:lineRule="auto"/>
        <w:rPr>
          <w:rFonts w:cs="Times New Roman"/>
          <w:i/>
          <w:iCs/>
          <w:sz w:val="24"/>
          <w:szCs w:val="24"/>
        </w:rPr>
      </w:pPr>
      <w:r>
        <w:rPr>
          <w:rFonts w:cs="Times New Roman"/>
          <w:sz w:val="24"/>
          <w:szCs w:val="24"/>
        </w:rPr>
        <w:t xml:space="preserve">Daran anschließend erläutert </w:t>
      </w:r>
      <w:r w:rsidR="001B5BD4">
        <w:rPr>
          <w:rFonts w:cs="Times New Roman"/>
          <w:sz w:val="24"/>
          <w:szCs w:val="24"/>
        </w:rPr>
        <w:t xml:space="preserve">Jarno Franke, Sales Account Manager bei </w:t>
      </w:r>
      <w:r>
        <w:rPr>
          <w:rFonts w:cs="Times New Roman"/>
          <w:sz w:val="24"/>
          <w:szCs w:val="24"/>
        </w:rPr>
        <w:t>Senko</w:t>
      </w:r>
      <w:r w:rsidR="001B5BD4">
        <w:rPr>
          <w:rFonts w:cs="Times New Roman"/>
          <w:sz w:val="24"/>
          <w:szCs w:val="24"/>
        </w:rPr>
        <w:t>,</w:t>
      </w:r>
      <w:r>
        <w:rPr>
          <w:rFonts w:cs="Times New Roman"/>
          <w:sz w:val="24"/>
          <w:szCs w:val="24"/>
        </w:rPr>
        <w:t xml:space="preserve"> die Vorteile </w:t>
      </w:r>
      <w:r w:rsidR="001B5BD4">
        <w:rPr>
          <w:rFonts w:cs="Times New Roman"/>
          <w:sz w:val="24"/>
          <w:szCs w:val="24"/>
        </w:rPr>
        <w:t xml:space="preserve">der </w:t>
      </w:r>
      <w:r>
        <w:rPr>
          <w:rFonts w:cs="Times New Roman"/>
          <w:sz w:val="24"/>
          <w:szCs w:val="24"/>
        </w:rPr>
        <w:t xml:space="preserve">kompakten CS- und SN-Steckverbinder: Dank ihres um bis zu 40 Prozent kleineren Formfaktors gegenüber vergleichbaren LC-Duplex-Steckverbindern lässt sich die Packungsdichte im Patchbereich deutlich steigern. Ihren vollen Innovationsvorteil spielt die neue Generation der Einzelfasersteckverbinder </w:t>
      </w:r>
      <w:r w:rsidRPr="00976E76">
        <w:rPr>
          <w:rFonts w:cs="Times New Roman"/>
          <w:sz w:val="24"/>
          <w:szCs w:val="24"/>
        </w:rPr>
        <w:t>jedoch erst</w:t>
      </w:r>
      <w:r>
        <w:rPr>
          <w:rFonts w:cs="Times New Roman"/>
          <w:sz w:val="24"/>
          <w:szCs w:val="24"/>
        </w:rPr>
        <w:t xml:space="preserve"> in Kombination mit der Systematik der tML-Verkabelungsplattformen aus: Indem das tML32-System des Netzwerkexperten tde auf der Vorderseite auf die CS-Anschlusstechnik setzt, lassen sich bis zu 128 x 2 Fasern mit insgesamt 256 Fasern auf einer Höheneinheit realisieren. Noch weiter geht der SN-Steckverbinder, der bis zu 384 Fasern einbindet und damit doppelt so viele wie bei der Verwendung von LC-Duplex-Steckverbindern. Diese und weitere Aspekte für mehr Packungsdichte und Platzersparnis in Rechenzentren stellt Sascha Langer, Sal</w:t>
      </w:r>
      <w:r w:rsidR="00A5517D">
        <w:rPr>
          <w:rFonts w:cs="Times New Roman"/>
          <w:sz w:val="24"/>
          <w:szCs w:val="24"/>
        </w:rPr>
        <w:t>e</w:t>
      </w:r>
      <w:r>
        <w:rPr>
          <w:rFonts w:cs="Times New Roman"/>
          <w:sz w:val="24"/>
          <w:szCs w:val="24"/>
        </w:rPr>
        <w:t xml:space="preserve">s Consultant der tde trans data elektronik GmbH in den Mittelpunkt seines Beitrags mit dem Titel „High-density in Data Centres“. </w:t>
      </w:r>
      <w:r>
        <w:rPr>
          <w:rFonts w:cs="Times New Roman"/>
          <w:sz w:val="24"/>
          <w:szCs w:val="24"/>
        </w:rPr>
        <w:br/>
      </w:r>
      <w:r w:rsidR="001B5BD4">
        <w:rPr>
          <w:rFonts w:cs="Times New Roman"/>
          <w:i/>
          <w:iCs/>
          <w:sz w:val="24"/>
          <w:szCs w:val="24"/>
        </w:rPr>
        <w:br/>
      </w:r>
    </w:p>
    <w:p w14:paraId="4F71D533" w14:textId="77777777" w:rsidR="001B5BD4" w:rsidRDefault="001B5BD4">
      <w:pPr>
        <w:spacing w:after="160" w:line="259" w:lineRule="auto"/>
        <w:rPr>
          <w:rFonts w:cs="Times New Roman"/>
          <w:i/>
          <w:iCs/>
          <w:sz w:val="24"/>
          <w:szCs w:val="24"/>
        </w:rPr>
      </w:pPr>
      <w:r>
        <w:rPr>
          <w:rFonts w:cs="Times New Roman"/>
          <w:i/>
          <w:iCs/>
          <w:sz w:val="24"/>
          <w:szCs w:val="24"/>
        </w:rPr>
        <w:br w:type="page"/>
      </w:r>
    </w:p>
    <w:p w14:paraId="5D0CECDA" w14:textId="77777777" w:rsidR="001B5BD4" w:rsidRDefault="001B5BD4" w:rsidP="00E843AA">
      <w:pPr>
        <w:spacing w:after="0" w:line="360" w:lineRule="auto"/>
        <w:rPr>
          <w:rFonts w:cs="Times New Roman"/>
          <w:i/>
          <w:iCs/>
          <w:sz w:val="24"/>
          <w:szCs w:val="24"/>
        </w:rPr>
      </w:pPr>
    </w:p>
    <w:p w14:paraId="53E7538A" w14:textId="77777777" w:rsidR="00E843AA" w:rsidRPr="007754D2" w:rsidRDefault="001B5BD4" w:rsidP="00E843AA">
      <w:pPr>
        <w:spacing w:after="0" w:line="360" w:lineRule="auto"/>
        <w:rPr>
          <w:rFonts w:cs="Times New Roman"/>
          <w:i/>
          <w:iCs/>
          <w:sz w:val="24"/>
          <w:szCs w:val="24"/>
        </w:rPr>
      </w:pPr>
      <w:r>
        <w:rPr>
          <w:rFonts w:cs="Times New Roman"/>
          <w:i/>
          <w:iCs/>
          <w:sz w:val="24"/>
          <w:szCs w:val="24"/>
        </w:rPr>
        <w:br/>
      </w:r>
      <w:r w:rsidR="00E843AA" w:rsidRPr="007754D2">
        <w:rPr>
          <w:rFonts w:cs="Times New Roman"/>
          <w:i/>
          <w:iCs/>
          <w:sz w:val="24"/>
          <w:szCs w:val="24"/>
        </w:rPr>
        <w:t>Gut geplant zum zukunftsfähi</w:t>
      </w:r>
      <w:r w:rsidR="00E843AA">
        <w:rPr>
          <w:rFonts w:cs="Times New Roman"/>
          <w:i/>
          <w:iCs/>
          <w:sz w:val="24"/>
          <w:szCs w:val="24"/>
        </w:rPr>
        <w:t>g</w:t>
      </w:r>
      <w:r w:rsidR="00E843AA" w:rsidRPr="007754D2">
        <w:rPr>
          <w:rFonts w:cs="Times New Roman"/>
          <w:i/>
          <w:iCs/>
          <w:sz w:val="24"/>
          <w:szCs w:val="24"/>
        </w:rPr>
        <w:t>en Digit</w:t>
      </w:r>
      <w:r w:rsidR="00E843AA">
        <w:rPr>
          <w:rFonts w:cs="Times New Roman"/>
          <w:i/>
          <w:iCs/>
          <w:sz w:val="24"/>
          <w:szCs w:val="24"/>
        </w:rPr>
        <w:t>a</w:t>
      </w:r>
      <w:r w:rsidR="00E843AA" w:rsidRPr="007754D2">
        <w:rPr>
          <w:rFonts w:cs="Times New Roman"/>
          <w:i/>
          <w:iCs/>
          <w:sz w:val="24"/>
          <w:szCs w:val="24"/>
        </w:rPr>
        <w:t>li</w:t>
      </w:r>
      <w:r w:rsidR="00E843AA">
        <w:rPr>
          <w:rFonts w:cs="Times New Roman"/>
          <w:i/>
          <w:iCs/>
          <w:sz w:val="24"/>
          <w:szCs w:val="24"/>
        </w:rPr>
        <w:t>s</w:t>
      </w:r>
      <w:r w:rsidR="00E843AA" w:rsidRPr="007754D2">
        <w:rPr>
          <w:rFonts w:cs="Times New Roman"/>
          <w:i/>
          <w:iCs/>
          <w:sz w:val="24"/>
          <w:szCs w:val="24"/>
        </w:rPr>
        <w:t xml:space="preserve">ierungsprojekt </w:t>
      </w:r>
    </w:p>
    <w:p w14:paraId="6C7CC7FF" w14:textId="77777777" w:rsidR="00E843AA" w:rsidRDefault="00E843AA" w:rsidP="00E843AA">
      <w:pPr>
        <w:spacing w:after="0" w:line="360" w:lineRule="auto"/>
      </w:pPr>
      <w:r>
        <w:rPr>
          <w:rFonts w:cs="Times New Roman"/>
          <w:sz w:val="24"/>
          <w:szCs w:val="24"/>
        </w:rPr>
        <w:t>„Mit dem Webcast wollen wir Unternehmen bei der Planung sowie dem Proof-of-concept für ihr Digitalisierungsvorhaben unterstützen“, erläutert André Engel und fährt fort: „Denn nur, wenn sie von Anfang an wissen, worauf sie bei der Implementierung einer stabilen und zukunftsfähigen Verkabelungsinfrastruktur achten müssen, können sie sich später auf</w:t>
      </w:r>
      <w:r w:rsidR="001B5BD4">
        <w:rPr>
          <w:rFonts w:cs="Times New Roman"/>
          <w:sz w:val="24"/>
          <w:szCs w:val="24"/>
        </w:rPr>
        <w:t xml:space="preserve"> </w:t>
      </w:r>
      <w:r>
        <w:rPr>
          <w:rFonts w:cs="Times New Roman"/>
          <w:sz w:val="24"/>
          <w:szCs w:val="24"/>
        </w:rPr>
        <w:t xml:space="preserve">Hochverfügbarkeit und 100-prozentige Ausfallsicherheit bei gleichzeitiger einfacher Migration zu höheren Übertragungsraten verlassen. Zentral hierfür sind flexible, modular aufgebaute Verkabelungssysteme. Diese sollten LWL-Kabel mit hohen </w:t>
      </w:r>
      <w:r w:rsidR="00285498">
        <w:rPr>
          <w:rFonts w:cs="Times New Roman"/>
          <w:sz w:val="24"/>
          <w:szCs w:val="24"/>
        </w:rPr>
        <w:t xml:space="preserve">Faserzahlen </w:t>
      </w:r>
      <w:r>
        <w:rPr>
          <w:rFonts w:cs="Times New Roman"/>
          <w:sz w:val="24"/>
          <w:szCs w:val="24"/>
        </w:rPr>
        <w:t xml:space="preserve">und kleinen Durchmessern ebenso berücksichtigen wie die Möglichkeit, </w:t>
      </w:r>
      <w:r w:rsidRPr="006C3013">
        <w:rPr>
          <w:rFonts w:cs="Times New Roman"/>
          <w:i/>
          <w:iCs/>
          <w:sz w:val="24"/>
          <w:szCs w:val="24"/>
        </w:rPr>
        <w:t>alle</w:t>
      </w:r>
      <w:r>
        <w:rPr>
          <w:rFonts w:cs="Times New Roman"/>
          <w:sz w:val="24"/>
          <w:szCs w:val="24"/>
        </w:rPr>
        <w:t xml:space="preserve"> derzeit am Markt erhältlichen relevanten Steckverbinder einbinden.“ </w:t>
      </w:r>
    </w:p>
    <w:p w14:paraId="0A116CF0" w14:textId="77777777" w:rsidR="00E843AA" w:rsidRDefault="00E843AA" w:rsidP="00E843AA">
      <w:pPr>
        <w:spacing w:after="0" w:line="360" w:lineRule="auto"/>
        <w:rPr>
          <w:rFonts w:cs="Times New Roman"/>
          <w:sz w:val="24"/>
          <w:szCs w:val="24"/>
        </w:rPr>
      </w:pPr>
      <w:r w:rsidRPr="004576F2">
        <w:rPr>
          <w:rFonts w:cs="Times New Roman"/>
          <w:sz w:val="24"/>
          <w:szCs w:val="24"/>
        </w:rPr>
        <w:t xml:space="preserve">Der NTT Webcast findet am 10. Februar um </w:t>
      </w:r>
      <w:r w:rsidR="004576F2" w:rsidRPr="004576F2">
        <w:rPr>
          <w:rFonts w:cs="Times New Roman"/>
          <w:sz w:val="24"/>
          <w:szCs w:val="24"/>
        </w:rPr>
        <w:t>1</w:t>
      </w:r>
      <w:r w:rsidR="001B5BD4">
        <w:rPr>
          <w:rFonts w:cs="Times New Roman"/>
          <w:sz w:val="24"/>
          <w:szCs w:val="24"/>
        </w:rPr>
        <w:t>0</w:t>
      </w:r>
      <w:r w:rsidRPr="004576F2">
        <w:rPr>
          <w:rFonts w:cs="Times New Roman"/>
          <w:sz w:val="24"/>
          <w:szCs w:val="24"/>
        </w:rPr>
        <w:t xml:space="preserve"> Uhr statt. Interessierte können sich unter </w:t>
      </w:r>
      <w:hyperlink r:id="rId8" w:history="1">
        <w:r w:rsidR="004576F2" w:rsidRPr="00811C20">
          <w:rPr>
            <w:rStyle w:val="Hyperlink"/>
            <w:sz w:val="24"/>
            <w:szCs w:val="24"/>
          </w:rPr>
          <w:t>https://www.brighttalk.com/webcast/15381/464444</w:t>
        </w:r>
      </w:hyperlink>
      <w:r w:rsidR="004576F2">
        <w:rPr>
          <w:rFonts w:cs="Times New Roman"/>
          <w:sz w:val="24"/>
          <w:szCs w:val="24"/>
        </w:rPr>
        <w:t xml:space="preserve"> </w:t>
      </w:r>
      <w:r w:rsidRPr="004576F2">
        <w:rPr>
          <w:rFonts w:cs="Times New Roman"/>
          <w:sz w:val="24"/>
          <w:szCs w:val="24"/>
        </w:rPr>
        <w:t>kostenlos registrieren.</w:t>
      </w:r>
    </w:p>
    <w:p w14:paraId="598CEADC" w14:textId="77777777" w:rsidR="00E843AA" w:rsidRDefault="00E843AA" w:rsidP="00E843AA">
      <w:pPr>
        <w:spacing w:after="0" w:line="360" w:lineRule="auto"/>
        <w:rPr>
          <w:rFonts w:cs="Times New Roman"/>
          <w:sz w:val="24"/>
          <w:szCs w:val="24"/>
        </w:rPr>
      </w:pPr>
    </w:p>
    <w:p w14:paraId="0E1AD231" w14:textId="77777777" w:rsidR="00E843AA" w:rsidRDefault="00E843AA" w:rsidP="004576F2">
      <w:pPr>
        <w:rPr>
          <w:rStyle w:val="Hyperlink"/>
          <w:rFonts w:cs="Calibri"/>
        </w:rPr>
      </w:pPr>
      <w:r>
        <w:rPr>
          <w:rFonts w:cs="Verdana"/>
          <w:b/>
          <w:bCs/>
          <w:sz w:val="18"/>
          <w:szCs w:val="16"/>
        </w:rPr>
        <w:t>Über die tde – trans data elektronik GmbH</w:t>
      </w:r>
      <w:r>
        <w:rPr>
          <w:sz w:val="18"/>
          <w:szCs w:val="16"/>
        </w:rPr>
        <w:br/>
        <w:t xml:space="preserve">Als international erfolgreiches Unternehmen ist die tde – trans data elektronik GmbH seit mehr als 25 Jahren auf die Entwicklung und Herstellung skalierbarer Verkabelungssysteme für größte Packungsdichten spezialisiert. Auch das </w:t>
      </w:r>
      <w:r>
        <w:rPr>
          <w:rFonts w:cs="Cambria"/>
          <w:sz w:val="18"/>
          <w:szCs w:val="16"/>
        </w:rPr>
        <w:t xml:space="preserve">Kernforschungszentrum </w:t>
      </w:r>
      <w:r>
        <w:rPr>
          <w:bCs/>
          <w:color w:val="000000"/>
          <w:sz w:val="18"/>
          <w:szCs w:val="16"/>
          <w:shd w:val="clear" w:color="auto" w:fill="FFFFFF"/>
        </w:rPr>
        <w:t>CERN vertraut auf das Know-how des Technologieführers in der</w:t>
      </w:r>
      <w:r>
        <w:rPr>
          <w:sz w:val="18"/>
          <w:szCs w:val="16"/>
        </w:rPr>
        <w:t xml:space="preserve"> Mehrfasertechnik (MPO)</w:t>
      </w:r>
      <w:r>
        <w:rPr>
          <w:color w:val="000000"/>
          <w:sz w:val="18"/>
          <w:szCs w:val="16"/>
        </w:rPr>
        <w:t xml:space="preserve">. Das Portfolio </w:t>
      </w:r>
      <w:r>
        <w:rPr>
          <w:sz w:val="18"/>
          <w:szCs w:val="16"/>
        </w:rPr>
        <w:t xml:space="preserve">„Made in Germany“ </w:t>
      </w:r>
      <w:r>
        <w:rPr>
          <w:color w:val="000000"/>
          <w:sz w:val="18"/>
          <w:szCs w:val="16"/>
        </w:rPr>
        <w:t>umfasst komplette Systemlösungen mit Schwerpunkt Plug-and-play</w:t>
      </w:r>
      <w:r>
        <w:rPr>
          <w:sz w:val="18"/>
          <w:szCs w:val="16"/>
        </w:rPr>
        <w:t xml:space="preserve"> für High-Speed-Anwendungen im Bereich Datacom, Telecom, Industry, Medical und Defence. tde bietet mit einer eigenen Service-Abteilung Planungs- und Installationsleistungen aus einer Hand und unterstützt den „European Code of Conduct“ für Energieeffizienz in Rechenzentren. </w:t>
      </w:r>
      <w:r w:rsidR="004576F2">
        <w:rPr>
          <w:sz w:val="18"/>
          <w:szCs w:val="16"/>
        </w:rPr>
        <w:t xml:space="preserve">Mehr unter: </w:t>
      </w:r>
      <w:hyperlink r:id="rId9" w:history="1">
        <w:r w:rsidR="004576F2">
          <w:rPr>
            <w:rStyle w:val="Hyperlink"/>
            <w:rFonts w:cs="Calibri"/>
            <w:sz w:val="18"/>
          </w:rPr>
          <w:t>www.tde.de</w:t>
        </w:r>
      </w:hyperlink>
      <w:r w:rsidR="004576F2">
        <w:rPr>
          <w:rStyle w:val="Hyperlink"/>
          <w:rFonts w:cs="Calibri"/>
          <w:sz w:val="18"/>
        </w:rPr>
        <w:t xml:space="preserve"> </w:t>
      </w:r>
      <w:r w:rsidR="004576F2" w:rsidRPr="008379C6">
        <w:rPr>
          <w:sz w:val="18"/>
          <w:szCs w:val="16"/>
        </w:rPr>
        <w:t xml:space="preserve">sowie auf </w:t>
      </w:r>
      <w:hyperlink r:id="rId10" w:history="1">
        <w:r w:rsidR="004576F2" w:rsidRPr="008379C6">
          <w:rPr>
            <w:rStyle w:val="Hyperlink"/>
            <w:rFonts w:cs="Calibri"/>
            <w:sz w:val="18"/>
            <w:szCs w:val="16"/>
          </w:rPr>
          <w:t>LinkedIn</w:t>
        </w:r>
      </w:hyperlink>
      <w:r w:rsidR="004576F2" w:rsidRPr="008379C6">
        <w:rPr>
          <w:sz w:val="18"/>
          <w:szCs w:val="16"/>
        </w:rPr>
        <w:t xml:space="preserve">, </w:t>
      </w:r>
      <w:hyperlink r:id="rId11" w:history="1">
        <w:r w:rsidR="004576F2" w:rsidRPr="008379C6">
          <w:rPr>
            <w:rStyle w:val="Hyperlink"/>
            <w:rFonts w:cs="Calibri"/>
            <w:sz w:val="18"/>
            <w:szCs w:val="16"/>
          </w:rPr>
          <w:t>Twitter</w:t>
        </w:r>
      </w:hyperlink>
      <w:r w:rsidR="004576F2" w:rsidRPr="008379C6">
        <w:rPr>
          <w:sz w:val="18"/>
          <w:szCs w:val="16"/>
        </w:rPr>
        <w:t xml:space="preserve"> und </w:t>
      </w:r>
      <w:hyperlink r:id="rId12" w:history="1">
        <w:r w:rsidR="004576F2" w:rsidRPr="000C77E9">
          <w:rPr>
            <w:rStyle w:val="Hyperlink"/>
            <w:rFonts w:cs="Calibri"/>
            <w:sz w:val="18"/>
            <w:szCs w:val="16"/>
          </w:rPr>
          <w:t>Xing</w:t>
        </w:r>
      </w:hyperlink>
      <w:r w:rsidR="004576F2" w:rsidRPr="008379C6">
        <w:rPr>
          <w:sz w:val="18"/>
          <w:szCs w:val="16"/>
        </w:rPr>
        <w:t xml:space="preserve">. </w:t>
      </w:r>
      <w:r w:rsidR="004576F2">
        <w:rPr>
          <w:sz w:val="18"/>
          <w:szCs w:val="16"/>
        </w:rPr>
        <w:br/>
      </w:r>
      <w:r w:rsidR="004576F2">
        <w:rPr>
          <w:sz w:val="18"/>
          <w:szCs w:val="16"/>
        </w:rPr>
        <w:br/>
      </w:r>
      <w:r>
        <w:rPr>
          <w:rFonts w:cs="Verdana"/>
          <w:b/>
          <w:bCs/>
          <w:sz w:val="18"/>
          <w:szCs w:val="16"/>
        </w:rPr>
        <w:t>Unternehmenskontakt</w:t>
      </w:r>
      <w:r>
        <w:rPr>
          <w:rFonts w:cs="Verdana"/>
          <w:b/>
          <w:bCs/>
          <w:sz w:val="18"/>
          <w:szCs w:val="16"/>
        </w:rPr>
        <w:br/>
      </w:r>
      <w:r>
        <w:rPr>
          <w:sz w:val="18"/>
          <w:szCs w:val="16"/>
        </w:rPr>
        <w:t>tde – trans data elektronik GmbH, Vertriebsbüro Dortmund</w:t>
      </w:r>
      <w:r>
        <w:rPr>
          <w:sz w:val="18"/>
          <w:szCs w:val="16"/>
        </w:rPr>
        <w:br/>
        <w:t>André Engel, Prinz-Friedrich-Karl-Str. 46, D - 44135 Dortmund</w:t>
      </w:r>
      <w:r>
        <w:rPr>
          <w:sz w:val="18"/>
          <w:szCs w:val="16"/>
        </w:rPr>
        <w:br/>
        <w:t xml:space="preserve">Tel. +49 231 160480, Fax +49 231 160933, </w:t>
      </w:r>
      <w:hyperlink r:id="rId13" w:history="1">
        <w:r>
          <w:rPr>
            <w:rStyle w:val="Hyperlink"/>
            <w:rFonts w:cs="Calibri"/>
            <w:sz w:val="18"/>
          </w:rPr>
          <w:t>info@tde.de</w:t>
        </w:r>
      </w:hyperlink>
      <w:r>
        <w:rPr>
          <w:sz w:val="18"/>
          <w:szCs w:val="16"/>
        </w:rPr>
        <w:t xml:space="preserve">, </w:t>
      </w:r>
      <w:hyperlink r:id="rId14" w:history="1">
        <w:r>
          <w:rPr>
            <w:rStyle w:val="Hyperlink"/>
            <w:rFonts w:cs="Calibri"/>
            <w:sz w:val="18"/>
          </w:rPr>
          <w:t>www.tde.de</w:t>
        </w:r>
      </w:hyperlink>
    </w:p>
    <w:p w14:paraId="35FE543A" w14:textId="77777777" w:rsidR="00E843AA" w:rsidRDefault="00E843AA" w:rsidP="00E843AA">
      <w:pPr>
        <w:spacing w:after="0"/>
        <w:jc w:val="both"/>
      </w:pPr>
      <w:r>
        <w:rPr>
          <w:rFonts w:cs="Verdana"/>
          <w:b/>
          <w:bCs/>
          <w:sz w:val="18"/>
          <w:szCs w:val="16"/>
        </w:rPr>
        <w:t>Pressekontakt</w:t>
      </w:r>
      <w:r>
        <w:rPr>
          <w:rFonts w:cs="Verdana"/>
          <w:b/>
          <w:bCs/>
          <w:sz w:val="18"/>
          <w:szCs w:val="16"/>
        </w:rPr>
        <w:br/>
      </w:r>
      <w:r>
        <w:rPr>
          <w:sz w:val="18"/>
          <w:szCs w:val="16"/>
        </w:rPr>
        <w:t>epr – elsaesser public relations, Maximilianstraße 50, D - 86150 Augsburg</w:t>
      </w:r>
    </w:p>
    <w:p w14:paraId="78F21846" w14:textId="77777777" w:rsidR="00E843AA" w:rsidRDefault="00E843AA" w:rsidP="00E843AA">
      <w:pPr>
        <w:spacing w:after="0"/>
        <w:jc w:val="both"/>
      </w:pPr>
      <w:r>
        <w:rPr>
          <w:sz w:val="18"/>
          <w:szCs w:val="16"/>
        </w:rPr>
        <w:t xml:space="preserve">Frauke Schütz, Tel: +49 821 4508 7916, </w:t>
      </w:r>
      <w:hyperlink r:id="rId15" w:history="1">
        <w:r>
          <w:rPr>
            <w:rStyle w:val="Hyperlink"/>
            <w:rFonts w:cs="Calibri"/>
            <w:sz w:val="18"/>
          </w:rPr>
          <w:t>fs@epr-online.de</w:t>
        </w:r>
      </w:hyperlink>
    </w:p>
    <w:p w14:paraId="7A9A2226" w14:textId="77777777" w:rsidR="00E843AA" w:rsidRDefault="00E843AA" w:rsidP="00E843AA">
      <w:pPr>
        <w:spacing w:after="0"/>
        <w:jc w:val="both"/>
      </w:pPr>
      <w:r>
        <w:rPr>
          <w:sz w:val="18"/>
          <w:szCs w:val="16"/>
        </w:rPr>
        <w:t>Sabine Hensold, Tel: +49 821 4508 7917,</w:t>
      </w:r>
      <w:r>
        <w:rPr>
          <w:b/>
          <w:sz w:val="18"/>
          <w:szCs w:val="16"/>
        </w:rPr>
        <w:t xml:space="preserve"> </w:t>
      </w:r>
      <w:hyperlink r:id="rId16" w:history="1">
        <w:r>
          <w:rPr>
            <w:rStyle w:val="Hyperlink"/>
            <w:rFonts w:cs="Calibri"/>
            <w:sz w:val="18"/>
          </w:rPr>
          <w:t>sh@epr-online.de</w:t>
        </w:r>
      </w:hyperlink>
    </w:p>
    <w:p w14:paraId="061CFB3A" w14:textId="77777777" w:rsidR="00E843AA" w:rsidRPr="0059088B" w:rsidRDefault="005D0245" w:rsidP="00E843AA">
      <w:pPr>
        <w:spacing w:after="0"/>
        <w:jc w:val="both"/>
        <w:rPr>
          <w:b/>
          <w:bCs/>
          <w:u w:val="single"/>
        </w:rPr>
      </w:pPr>
      <w:hyperlink r:id="rId17" w:history="1">
        <w:r w:rsidR="00E843AA">
          <w:rPr>
            <w:rStyle w:val="Hyperlink"/>
            <w:rFonts w:cs="Calibri"/>
            <w:sz w:val="18"/>
          </w:rPr>
          <w:t>www.epr-online.de</w:t>
        </w:r>
      </w:hyperlink>
    </w:p>
    <w:p w14:paraId="20DE9772" w14:textId="77777777" w:rsidR="00E843AA" w:rsidRDefault="001B5BD4" w:rsidP="00E843AA">
      <w:pPr>
        <w:spacing w:after="0"/>
        <w:rPr>
          <w:sz w:val="18"/>
          <w:szCs w:val="16"/>
        </w:rPr>
      </w:pPr>
      <w:bookmarkStart w:id="0" w:name="_Hlk25913554"/>
      <w:r>
        <w:rPr>
          <w:rFonts w:cs="Verdana"/>
          <w:b/>
          <w:bCs/>
          <w:sz w:val="18"/>
          <w:szCs w:val="16"/>
        </w:rPr>
        <w:br/>
      </w:r>
      <w:r w:rsidR="00E843AA" w:rsidRPr="005F317E">
        <w:rPr>
          <w:rFonts w:cs="Verdana"/>
          <w:b/>
          <w:bCs/>
          <w:sz w:val="18"/>
          <w:szCs w:val="16"/>
        </w:rPr>
        <w:t>Über Senko</w:t>
      </w:r>
      <w:r w:rsidR="00E843AA">
        <w:rPr>
          <w:rFonts w:cs="Verdana"/>
          <w:b/>
          <w:bCs/>
          <w:sz w:val="18"/>
          <w:szCs w:val="16"/>
        </w:rPr>
        <w:br/>
      </w:r>
      <w:r w:rsidR="00E843AA" w:rsidRPr="00193369">
        <w:rPr>
          <w:sz w:val="18"/>
          <w:szCs w:val="16"/>
        </w:rPr>
        <w:t xml:space="preserve">SENKO Advanced Components entwickelt, produziert und vertreibt ein umfassendes Portfolio von mehreren hundert Glasfaserprodukten. Der weltweit führende Anbieter von Verbindungstechnik bietet Lösungen für das gesamte Spektrum an Glasfaseranwendungen. Diese reichen von FFTx-, Telekommunikations- und Datacom-Lösungen bis hin zu Anwendungen im Rundfunk- und Medizin-Umfeld. SENKOs Anspruch ist es, seinen Kunden optische Verbindungstechnik in höchster Qualität zur Verfügung zu stellen. </w:t>
      </w:r>
      <w:bookmarkEnd w:id="0"/>
    </w:p>
    <w:p w14:paraId="1664ACCF" w14:textId="77777777" w:rsidR="00E843AA" w:rsidRDefault="00E843AA" w:rsidP="00E843AA">
      <w:pPr>
        <w:spacing w:after="0" w:line="360" w:lineRule="auto"/>
        <w:rPr>
          <w:sz w:val="18"/>
          <w:szCs w:val="16"/>
        </w:rPr>
      </w:pPr>
    </w:p>
    <w:p w14:paraId="2F46441D" w14:textId="77777777" w:rsidR="00E843AA" w:rsidRPr="00E82093" w:rsidRDefault="00E843AA" w:rsidP="00E843AA">
      <w:pPr>
        <w:spacing w:after="0"/>
        <w:rPr>
          <w:rFonts w:cs="Verdana"/>
          <w:b/>
          <w:bCs/>
          <w:sz w:val="18"/>
          <w:szCs w:val="16"/>
        </w:rPr>
      </w:pPr>
      <w:r w:rsidRPr="00E82093">
        <w:rPr>
          <w:rFonts w:cs="Verdana"/>
          <w:b/>
          <w:bCs/>
          <w:sz w:val="18"/>
          <w:szCs w:val="16"/>
        </w:rPr>
        <w:t>Über die Prysmian Group</w:t>
      </w:r>
    </w:p>
    <w:p w14:paraId="35AFC7E1" w14:textId="77777777" w:rsidR="00E843AA" w:rsidRPr="00E82093" w:rsidRDefault="00E843AA" w:rsidP="00E843AA">
      <w:pPr>
        <w:spacing w:after="0"/>
        <w:rPr>
          <w:sz w:val="18"/>
          <w:szCs w:val="16"/>
        </w:rPr>
      </w:pPr>
      <w:r w:rsidRPr="00E82093">
        <w:rPr>
          <w:sz w:val="18"/>
          <w:szCs w:val="16"/>
        </w:rPr>
        <w:t xml:space="preserve">Die Prysmian Group ist ein Weltmarktführer für Energie- und Telekomkabelsysteme. Mit ihren fast 140 Jahren Erfahrung, einem Umsatz von über EUR 11 Mrd., ca. 29.000 Mitarbeitern in über 50 Ländern und 112 Werken, ist die Gruppe stark in </w:t>
      </w:r>
      <w:r w:rsidR="001B5BD4">
        <w:rPr>
          <w:sz w:val="18"/>
          <w:szCs w:val="16"/>
        </w:rPr>
        <w:br/>
      </w:r>
      <w:r w:rsidR="001B5BD4">
        <w:rPr>
          <w:sz w:val="18"/>
          <w:szCs w:val="16"/>
        </w:rPr>
        <w:lastRenderedPageBreak/>
        <w:br/>
      </w:r>
      <w:r w:rsidR="001B5BD4">
        <w:rPr>
          <w:sz w:val="18"/>
          <w:szCs w:val="16"/>
        </w:rPr>
        <w:br/>
      </w:r>
      <w:r w:rsidRPr="00E82093">
        <w:rPr>
          <w:sz w:val="18"/>
          <w:szCs w:val="16"/>
        </w:rPr>
        <w:t xml:space="preserve">High-Tech Märkten positioniert und bietet das größtmögliche Spektrum an Produkten, Dienstleistungen, Technologien und Wissen. Sie agiert in Geschäftsfeldern der Untertage- und Unterwasserkabel und Systemen zur Energieübertragung und -verteilung, mit Spezialkabeln für Anwendungen in vielen unterschiedlichen Industrien und Kabeln für mittlere und niedrige Spannung für den Bau- und Infrastruktursektoren. Für den Bereich der Telekommunikation fertigt die Gruppe Kabel und Zubehör für Stimm-, Video- und Datenübertragung und bietet ein umfassendes Spektrum an Glasfaserkabeln, Lichtwellenleitern und Kupferkabeln sowie Anschlusssystemen. Prysmian ist eine Aktiengesellschaft, die in der italienischen Börse, dem FTSE MIB Index, gelistet ist. </w:t>
      </w:r>
    </w:p>
    <w:p w14:paraId="3393D72F" w14:textId="77777777" w:rsidR="004576F2" w:rsidRDefault="00E843AA" w:rsidP="004576F2">
      <w:pPr>
        <w:spacing w:after="0"/>
        <w:rPr>
          <w:sz w:val="18"/>
          <w:szCs w:val="16"/>
        </w:rPr>
      </w:pPr>
      <w:r w:rsidRPr="00E82093">
        <w:rPr>
          <w:sz w:val="18"/>
        </w:rPr>
        <w:t>Weitere Informationen:</w:t>
      </w:r>
      <w:r w:rsidRPr="004576F2">
        <w:rPr>
          <w:b/>
          <w:bCs/>
          <w:sz w:val="18"/>
          <w:szCs w:val="18"/>
        </w:rPr>
        <w:t xml:space="preserve"> </w:t>
      </w:r>
      <w:hyperlink r:id="rId18" w:history="1">
        <w:r w:rsidRPr="004576F2">
          <w:rPr>
            <w:rStyle w:val="Hyperlink"/>
            <w:rFonts w:cs="Verdana"/>
            <w:sz w:val="18"/>
            <w:szCs w:val="18"/>
          </w:rPr>
          <w:t>http://www.prysmiangroup.com</w:t>
        </w:r>
      </w:hyperlink>
      <w:r w:rsidR="004576F2">
        <w:rPr>
          <w:sz w:val="18"/>
          <w:szCs w:val="16"/>
        </w:rPr>
        <w:br w:type="page"/>
      </w:r>
    </w:p>
    <w:p w14:paraId="49B2F4C0" w14:textId="77777777" w:rsidR="00E843AA" w:rsidRDefault="00E843AA" w:rsidP="00E843AA">
      <w:pPr>
        <w:spacing w:after="0" w:line="360" w:lineRule="auto"/>
        <w:rPr>
          <w:sz w:val="18"/>
          <w:szCs w:val="16"/>
        </w:rPr>
      </w:pPr>
    </w:p>
    <w:p w14:paraId="716438F2" w14:textId="77777777" w:rsidR="004576F2" w:rsidRDefault="004576F2" w:rsidP="00E843AA">
      <w:pPr>
        <w:spacing w:after="0" w:line="360" w:lineRule="auto"/>
        <w:rPr>
          <w:sz w:val="18"/>
          <w:szCs w:val="16"/>
        </w:rPr>
      </w:pPr>
    </w:p>
    <w:p w14:paraId="2CE99BE5" w14:textId="77777777" w:rsidR="00E843AA" w:rsidRDefault="00E843AA" w:rsidP="00E843AA">
      <w:pPr>
        <w:rPr>
          <w:rFonts w:cs="Verdana"/>
          <w:sz w:val="18"/>
          <w:szCs w:val="16"/>
        </w:rPr>
      </w:pPr>
      <w:r>
        <w:rPr>
          <w:rFonts w:cs="Verdana"/>
          <w:b/>
          <w:bCs/>
          <w:sz w:val="18"/>
          <w:szCs w:val="16"/>
        </w:rPr>
        <w:t>Der Global Data Centers Geschäftsbereich von NTT</w:t>
      </w:r>
      <w:r>
        <w:rPr>
          <w:rFonts w:cs="Verdana"/>
          <w:b/>
          <w:bCs/>
          <w:sz w:val="18"/>
          <w:szCs w:val="16"/>
        </w:rPr>
        <w:br/>
      </w:r>
      <w:r>
        <w:rPr>
          <w:rFonts w:cs="Verdana"/>
          <w:sz w:val="18"/>
          <w:szCs w:val="16"/>
        </w:rPr>
        <w:t>Global Data Centers, vormals e-shelter, ist ein Geschäftsbereich der NTT Ltd. Unsere gemeinsame globale Plattform ist mit über 150 Rechenzentren in mehr als 20 Ländern und Regionen wie Nordamerika, Europa, Afrika und APAC eine der größten der Welt.</w:t>
      </w:r>
    </w:p>
    <w:p w14:paraId="190E5CF6" w14:textId="77777777" w:rsidR="00E843AA" w:rsidRDefault="00E843AA" w:rsidP="00E843AA">
      <w:pPr>
        <w:rPr>
          <w:rFonts w:cs="Verdana"/>
          <w:sz w:val="18"/>
          <w:szCs w:val="16"/>
        </w:rPr>
      </w:pPr>
      <w:r>
        <w:rPr>
          <w:rFonts w:cs="Verdana"/>
          <w:sz w:val="18"/>
          <w:szCs w:val="16"/>
        </w:rPr>
        <w:t>Als Carrier- und Partner-neutraler Betreiber bieten wir Zugang zu einer Vielzahl an Cloud Providern, Internet Exchanges und Telekommunikationsnetzanbietern. Unsere Kunden profitieren von einer auf sie zugeschnittenen Infrastruktur und profitieren von einheitlichen Vorgehensweisen bei der Planung und dem Betrieb in all unseren hochverfügbaren, skalierbaren und kundenspezifisch konfigurierbaren Rechenzentren.</w:t>
      </w:r>
    </w:p>
    <w:p w14:paraId="571108C1" w14:textId="77777777" w:rsidR="00E843AA" w:rsidRPr="00E843AA" w:rsidRDefault="00E843AA" w:rsidP="00E843AA">
      <w:pPr>
        <w:rPr>
          <w:rFonts w:cs="Verdana"/>
          <w:sz w:val="18"/>
          <w:szCs w:val="16"/>
        </w:rPr>
      </w:pPr>
      <w:r>
        <w:rPr>
          <w:rFonts w:cs="Verdana"/>
          <w:sz w:val="18"/>
          <w:szCs w:val="16"/>
        </w:rPr>
        <w:t xml:space="preserve">Gemeinsam ermöglichen wir eine vernetzte Zukunft. Besuchen Sie uns auf unserer neuen Website </w:t>
      </w:r>
      <w:hyperlink r:id="rId19" w:history="1">
        <w:r>
          <w:rPr>
            <w:rStyle w:val="Hyperlink"/>
            <w:rFonts w:cs="Verdana"/>
            <w:sz w:val="18"/>
          </w:rPr>
          <w:t>https://hello.global.ntt</w:t>
        </w:r>
      </w:hyperlink>
    </w:p>
    <w:sectPr w:rsidR="00E843AA" w:rsidRPr="00E843AA">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8371A" w14:textId="77777777" w:rsidR="002B2E40" w:rsidRDefault="002B2E40" w:rsidP="00986D29">
      <w:pPr>
        <w:spacing w:after="0" w:line="240" w:lineRule="auto"/>
      </w:pPr>
      <w:r>
        <w:separator/>
      </w:r>
    </w:p>
  </w:endnote>
  <w:endnote w:type="continuationSeparator" w:id="0">
    <w:p w14:paraId="5F1AD9C4" w14:textId="77777777" w:rsidR="002B2E40" w:rsidRDefault="002B2E40" w:rsidP="0098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9C794" w14:textId="77777777" w:rsidR="002B2E40" w:rsidRDefault="002B2E40" w:rsidP="00986D29">
      <w:pPr>
        <w:spacing w:after="0" w:line="240" w:lineRule="auto"/>
      </w:pPr>
      <w:r>
        <w:separator/>
      </w:r>
    </w:p>
  </w:footnote>
  <w:footnote w:type="continuationSeparator" w:id="0">
    <w:p w14:paraId="6178BC0F" w14:textId="77777777" w:rsidR="002B2E40" w:rsidRDefault="002B2E40" w:rsidP="00986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259F0" w14:textId="77777777" w:rsidR="00986D29" w:rsidRDefault="00D86759" w:rsidP="00986D29">
    <w:pPr>
      <w:pStyle w:val="Kopfzeile"/>
      <w:jc w:val="right"/>
      <w:rPr>
        <w:rFonts w:ascii="Verdana" w:hAnsi="Verdana" w:cs="Verdana"/>
        <w:color w:val="808080"/>
        <w:sz w:val="20"/>
        <w:szCs w:val="20"/>
      </w:rPr>
    </w:pPr>
    <w:r>
      <w:rPr>
        <w:noProof/>
      </w:rPr>
      <w:drawing>
        <wp:anchor distT="0" distB="0" distL="114300" distR="114300" simplePos="0" relativeHeight="251659264" behindDoc="1" locked="0" layoutInCell="1" allowOverlap="1" wp14:anchorId="0C8893C5" wp14:editId="6E99951A">
          <wp:simplePos x="0" y="0"/>
          <wp:positionH relativeFrom="column">
            <wp:posOffset>4743450</wp:posOffset>
          </wp:positionH>
          <wp:positionV relativeFrom="paragraph">
            <wp:posOffset>-40640</wp:posOffset>
          </wp:positionV>
          <wp:extent cx="1416050" cy="659130"/>
          <wp:effectExtent l="0" t="0" r="0" b="0"/>
          <wp:wrapTight wrapText="bothSides">
            <wp:wrapPolygon edited="0">
              <wp:start x="0" y="0"/>
              <wp:lineTo x="0" y="21225"/>
              <wp:lineTo x="21213" y="21225"/>
              <wp:lineTo x="21213"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126C7" w14:textId="77777777" w:rsidR="00986D29" w:rsidRDefault="00986D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A6A96"/>
    <w:multiLevelType w:val="hybridMultilevel"/>
    <w:tmpl w:val="958A789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74"/>
    <w:rsid w:val="000366E5"/>
    <w:rsid w:val="00065834"/>
    <w:rsid w:val="0007097A"/>
    <w:rsid w:val="000C77E9"/>
    <w:rsid w:val="000D32DF"/>
    <w:rsid w:val="000E6175"/>
    <w:rsid w:val="000E6DE9"/>
    <w:rsid w:val="00110F46"/>
    <w:rsid w:val="00146E07"/>
    <w:rsid w:val="00147BEF"/>
    <w:rsid w:val="00170E62"/>
    <w:rsid w:val="00193369"/>
    <w:rsid w:val="001A10B1"/>
    <w:rsid w:val="001B360D"/>
    <w:rsid w:val="001B3B75"/>
    <w:rsid w:val="001B5BD4"/>
    <w:rsid w:val="001D4F8C"/>
    <w:rsid w:val="002172D4"/>
    <w:rsid w:val="00227D9A"/>
    <w:rsid w:val="00243617"/>
    <w:rsid w:val="00272182"/>
    <w:rsid w:val="00285498"/>
    <w:rsid w:val="00285FE7"/>
    <w:rsid w:val="002A2413"/>
    <w:rsid w:val="002A7D64"/>
    <w:rsid w:val="002B2E40"/>
    <w:rsid w:val="00303A9C"/>
    <w:rsid w:val="00307055"/>
    <w:rsid w:val="003102BD"/>
    <w:rsid w:val="0036650E"/>
    <w:rsid w:val="00373792"/>
    <w:rsid w:val="003B28E2"/>
    <w:rsid w:val="003E5B19"/>
    <w:rsid w:val="0044094C"/>
    <w:rsid w:val="00446425"/>
    <w:rsid w:val="004576F2"/>
    <w:rsid w:val="0047393B"/>
    <w:rsid w:val="00475493"/>
    <w:rsid w:val="004758D5"/>
    <w:rsid w:val="004B7BC3"/>
    <w:rsid w:val="004F00FA"/>
    <w:rsid w:val="00522B1D"/>
    <w:rsid w:val="00536E74"/>
    <w:rsid w:val="005444ED"/>
    <w:rsid w:val="0059088B"/>
    <w:rsid w:val="005B736C"/>
    <w:rsid w:val="005D0245"/>
    <w:rsid w:val="005D67AA"/>
    <w:rsid w:val="005F317E"/>
    <w:rsid w:val="005F69BF"/>
    <w:rsid w:val="00611FAB"/>
    <w:rsid w:val="00613C70"/>
    <w:rsid w:val="006239A5"/>
    <w:rsid w:val="00627916"/>
    <w:rsid w:val="006377E0"/>
    <w:rsid w:val="00644DEF"/>
    <w:rsid w:val="006C3013"/>
    <w:rsid w:val="0071686D"/>
    <w:rsid w:val="00724AAE"/>
    <w:rsid w:val="00745F7A"/>
    <w:rsid w:val="00765B3F"/>
    <w:rsid w:val="007754D2"/>
    <w:rsid w:val="007808F7"/>
    <w:rsid w:val="007C0869"/>
    <w:rsid w:val="007D1D3F"/>
    <w:rsid w:val="007D4313"/>
    <w:rsid w:val="00811C20"/>
    <w:rsid w:val="00823E78"/>
    <w:rsid w:val="008379C6"/>
    <w:rsid w:val="00865A61"/>
    <w:rsid w:val="00867799"/>
    <w:rsid w:val="008B7D76"/>
    <w:rsid w:val="008F2474"/>
    <w:rsid w:val="00925BD5"/>
    <w:rsid w:val="00932FA1"/>
    <w:rsid w:val="00954CD5"/>
    <w:rsid w:val="00976E76"/>
    <w:rsid w:val="009771D9"/>
    <w:rsid w:val="00986D29"/>
    <w:rsid w:val="00990CD4"/>
    <w:rsid w:val="00992CC5"/>
    <w:rsid w:val="009C546C"/>
    <w:rsid w:val="00A11729"/>
    <w:rsid w:val="00A52CF4"/>
    <w:rsid w:val="00A5517D"/>
    <w:rsid w:val="00A7141C"/>
    <w:rsid w:val="00AD1673"/>
    <w:rsid w:val="00B05ADD"/>
    <w:rsid w:val="00B12347"/>
    <w:rsid w:val="00B82D02"/>
    <w:rsid w:val="00BB466E"/>
    <w:rsid w:val="00BC210C"/>
    <w:rsid w:val="00BC5BC1"/>
    <w:rsid w:val="00BD40C9"/>
    <w:rsid w:val="00BF7990"/>
    <w:rsid w:val="00C07FF7"/>
    <w:rsid w:val="00C43B9F"/>
    <w:rsid w:val="00CA737A"/>
    <w:rsid w:val="00CD1D79"/>
    <w:rsid w:val="00CF0287"/>
    <w:rsid w:val="00D03B80"/>
    <w:rsid w:val="00D14992"/>
    <w:rsid w:val="00D34764"/>
    <w:rsid w:val="00D44F6F"/>
    <w:rsid w:val="00D47B2C"/>
    <w:rsid w:val="00D47B87"/>
    <w:rsid w:val="00D86759"/>
    <w:rsid w:val="00D869AD"/>
    <w:rsid w:val="00DC3649"/>
    <w:rsid w:val="00DC3CE1"/>
    <w:rsid w:val="00DC5697"/>
    <w:rsid w:val="00DD424E"/>
    <w:rsid w:val="00DE7D51"/>
    <w:rsid w:val="00DF4A85"/>
    <w:rsid w:val="00E335AF"/>
    <w:rsid w:val="00E80CEB"/>
    <w:rsid w:val="00E82093"/>
    <w:rsid w:val="00E843AA"/>
    <w:rsid w:val="00E940ED"/>
    <w:rsid w:val="00EA43B2"/>
    <w:rsid w:val="00EA7665"/>
    <w:rsid w:val="00EE0C70"/>
    <w:rsid w:val="00F416CA"/>
    <w:rsid w:val="00F52541"/>
    <w:rsid w:val="00F82521"/>
    <w:rsid w:val="00F97BA7"/>
    <w:rsid w:val="00FA5864"/>
    <w:rsid w:val="00FC0A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2A7F079"/>
  <w14:defaultImageDpi w14:val="0"/>
  <w15:docId w15:val="{33B4DAEA-47E1-47C0-90E9-EEF4BBBC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2474"/>
    <w:pPr>
      <w:spacing w:after="200" w:line="276"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2474"/>
    <w:pPr>
      <w:spacing w:after="0" w:line="240" w:lineRule="auto"/>
      <w:ind w:left="720"/>
    </w:pPr>
  </w:style>
  <w:style w:type="character" w:styleId="Kommentarzeichen">
    <w:name w:val="annotation reference"/>
    <w:basedOn w:val="Absatz-Standardschriftart"/>
    <w:uiPriority w:val="99"/>
    <w:semiHidden/>
    <w:unhideWhenUsed/>
    <w:rsid w:val="00644DEF"/>
    <w:rPr>
      <w:rFonts w:cs="Times New Roman"/>
      <w:sz w:val="16"/>
      <w:szCs w:val="16"/>
    </w:rPr>
  </w:style>
  <w:style w:type="paragraph" w:styleId="Kommentartext">
    <w:name w:val="annotation text"/>
    <w:basedOn w:val="Standard"/>
    <w:link w:val="KommentartextZchn"/>
    <w:uiPriority w:val="99"/>
    <w:unhideWhenUsed/>
    <w:rsid w:val="00644DEF"/>
    <w:pPr>
      <w:spacing w:line="240" w:lineRule="auto"/>
    </w:pPr>
    <w:rPr>
      <w:sz w:val="20"/>
      <w:szCs w:val="20"/>
    </w:rPr>
  </w:style>
  <w:style w:type="character" w:customStyle="1" w:styleId="KommentartextZchn">
    <w:name w:val="Kommentartext Zchn"/>
    <w:basedOn w:val="Absatz-Standardschriftart"/>
    <w:link w:val="Kommentartext"/>
    <w:uiPriority w:val="99"/>
    <w:locked/>
    <w:rsid w:val="00644DEF"/>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644DEF"/>
    <w:rPr>
      <w:b/>
      <w:bCs/>
    </w:rPr>
  </w:style>
  <w:style w:type="character" w:customStyle="1" w:styleId="KommentarthemaZchn">
    <w:name w:val="Kommentarthema Zchn"/>
    <w:basedOn w:val="KommentartextZchn"/>
    <w:link w:val="Kommentarthema"/>
    <w:uiPriority w:val="99"/>
    <w:semiHidden/>
    <w:locked/>
    <w:rsid w:val="00644DEF"/>
    <w:rPr>
      <w:rFonts w:ascii="Calibri" w:hAnsi="Calibri" w:cs="Calibri"/>
      <w:b/>
      <w:bCs/>
      <w:sz w:val="20"/>
      <w:szCs w:val="20"/>
    </w:rPr>
  </w:style>
  <w:style w:type="paragraph" w:styleId="Sprechblasentext">
    <w:name w:val="Balloon Text"/>
    <w:basedOn w:val="Standard"/>
    <w:link w:val="SprechblasentextZchn"/>
    <w:uiPriority w:val="99"/>
    <w:semiHidden/>
    <w:unhideWhenUsed/>
    <w:rsid w:val="00644D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644DEF"/>
    <w:rPr>
      <w:rFonts w:ascii="Segoe UI" w:hAnsi="Segoe UI" w:cs="Segoe UI"/>
      <w:sz w:val="18"/>
      <w:szCs w:val="18"/>
    </w:rPr>
  </w:style>
  <w:style w:type="character" w:styleId="Hyperlink">
    <w:name w:val="Hyperlink"/>
    <w:basedOn w:val="Absatz-Standardschriftart"/>
    <w:uiPriority w:val="99"/>
    <w:unhideWhenUsed/>
    <w:rsid w:val="00992CC5"/>
    <w:rPr>
      <w:rFonts w:cs="Times New Roman"/>
      <w:color w:val="0563C1" w:themeColor="hyperlink"/>
      <w:u w:val="single"/>
    </w:rPr>
  </w:style>
  <w:style w:type="character" w:customStyle="1" w:styleId="NichtaufgelsteErwhnung1">
    <w:name w:val="Nicht aufgelöste Erwähnung1"/>
    <w:basedOn w:val="Absatz-Standardschriftart"/>
    <w:uiPriority w:val="99"/>
    <w:semiHidden/>
    <w:unhideWhenUsed/>
    <w:rsid w:val="00992CC5"/>
    <w:rPr>
      <w:rFonts w:cs="Times New Roman"/>
      <w:color w:val="605E5C"/>
      <w:shd w:val="clear" w:color="auto" w:fill="E1DFDD"/>
    </w:rPr>
  </w:style>
  <w:style w:type="paragraph" w:styleId="Kopfzeile">
    <w:name w:val="header"/>
    <w:basedOn w:val="Standard"/>
    <w:link w:val="KopfzeileZchn"/>
    <w:uiPriority w:val="99"/>
    <w:unhideWhenUsed/>
    <w:rsid w:val="00986D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986D29"/>
    <w:rPr>
      <w:rFonts w:ascii="Calibri" w:hAnsi="Calibri" w:cs="Calibri"/>
    </w:rPr>
  </w:style>
  <w:style w:type="paragraph" w:styleId="Fuzeile">
    <w:name w:val="footer"/>
    <w:basedOn w:val="Standard"/>
    <w:link w:val="FuzeileZchn"/>
    <w:uiPriority w:val="99"/>
    <w:unhideWhenUsed/>
    <w:rsid w:val="00986D2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986D29"/>
    <w:rPr>
      <w:rFonts w:ascii="Calibri" w:hAnsi="Calibri" w:cs="Calibri"/>
    </w:rPr>
  </w:style>
  <w:style w:type="character" w:styleId="Fett">
    <w:name w:val="Strong"/>
    <w:basedOn w:val="Absatz-Standardschriftart"/>
    <w:uiPriority w:val="22"/>
    <w:qFormat/>
    <w:rsid w:val="00865A61"/>
    <w:rPr>
      <w:rFonts w:cs="Times New Roman"/>
      <w:b/>
      <w:bCs/>
    </w:rPr>
  </w:style>
  <w:style w:type="character" w:styleId="BesuchterLink">
    <w:name w:val="FollowedHyperlink"/>
    <w:basedOn w:val="Absatz-Standardschriftart"/>
    <w:uiPriority w:val="99"/>
    <w:semiHidden/>
    <w:unhideWhenUsed/>
    <w:rsid w:val="00865A61"/>
    <w:rPr>
      <w:rFonts w:cs="Times New Roman"/>
      <w:color w:val="954F72" w:themeColor="followedHyperlink"/>
      <w:u w:val="single"/>
    </w:rPr>
  </w:style>
  <w:style w:type="character" w:styleId="NichtaufgelsteErwhnung">
    <w:name w:val="Unresolved Mention"/>
    <w:basedOn w:val="Absatz-Standardschriftart"/>
    <w:uiPriority w:val="99"/>
    <w:semiHidden/>
    <w:unhideWhenUsed/>
    <w:rsid w:val="00D14992"/>
    <w:rPr>
      <w:rFonts w:cs="Times New Roman"/>
      <w:color w:val="605E5C"/>
      <w:shd w:val="clear" w:color="auto" w:fill="E1DFDD"/>
    </w:rPr>
  </w:style>
  <w:style w:type="paragraph" w:styleId="StandardWeb">
    <w:name w:val="Normal (Web)"/>
    <w:basedOn w:val="Standard"/>
    <w:uiPriority w:val="99"/>
    <w:unhideWhenUsed/>
    <w:rsid w:val="00627916"/>
    <w:pPr>
      <w:spacing w:before="100" w:beforeAutospacing="1" w:after="100" w:afterAutospacing="1" w:line="240" w:lineRule="auto"/>
    </w:pPr>
    <w:rPr>
      <w:rFonts w:ascii="Times New Roman" w:hAnsi="Times New Roman" w:cs="Times New Roman"/>
      <w:sz w:val="24"/>
      <w:szCs w:val="24"/>
      <w:lang w:eastAsia="de-DE"/>
    </w:rPr>
  </w:style>
  <w:style w:type="paragraph" w:styleId="berarbeitung">
    <w:name w:val="Revision"/>
    <w:hidden/>
    <w:uiPriority w:val="99"/>
    <w:semiHidden/>
    <w:rsid w:val="005B736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185248">
      <w:marLeft w:val="0"/>
      <w:marRight w:val="0"/>
      <w:marTop w:val="0"/>
      <w:marBottom w:val="0"/>
      <w:divBdr>
        <w:top w:val="none" w:sz="0" w:space="0" w:color="auto"/>
        <w:left w:val="none" w:sz="0" w:space="0" w:color="auto"/>
        <w:bottom w:val="none" w:sz="0" w:space="0" w:color="auto"/>
        <w:right w:val="none" w:sz="0" w:space="0" w:color="auto"/>
      </w:divBdr>
    </w:div>
    <w:div w:id="1602185249">
      <w:marLeft w:val="0"/>
      <w:marRight w:val="0"/>
      <w:marTop w:val="0"/>
      <w:marBottom w:val="0"/>
      <w:divBdr>
        <w:top w:val="none" w:sz="0" w:space="0" w:color="auto"/>
        <w:left w:val="none" w:sz="0" w:space="0" w:color="auto"/>
        <w:bottom w:val="none" w:sz="0" w:space="0" w:color="auto"/>
        <w:right w:val="none" w:sz="0" w:space="0" w:color="auto"/>
      </w:divBdr>
    </w:div>
    <w:div w:id="1602185250">
      <w:marLeft w:val="0"/>
      <w:marRight w:val="0"/>
      <w:marTop w:val="0"/>
      <w:marBottom w:val="0"/>
      <w:divBdr>
        <w:top w:val="none" w:sz="0" w:space="0" w:color="auto"/>
        <w:left w:val="none" w:sz="0" w:space="0" w:color="auto"/>
        <w:bottom w:val="none" w:sz="0" w:space="0" w:color="auto"/>
        <w:right w:val="none" w:sz="0" w:space="0" w:color="auto"/>
      </w:divBdr>
    </w:div>
    <w:div w:id="1602185251">
      <w:marLeft w:val="0"/>
      <w:marRight w:val="0"/>
      <w:marTop w:val="0"/>
      <w:marBottom w:val="0"/>
      <w:divBdr>
        <w:top w:val="none" w:sz="0" w:space="0" w:color="auto"/>
        <w:left w:val="none" w:sz="0" w:space="0" w:color="auto"/>
        <w:bottom w:val="none" w:sz="0" w:space="0" w:color="auto"/>
        <w:right w:val="none" w:sz="0" w:space="0" w:color="auto"/>
      </w:divBdr>
    </w:div>
    <w:div w:id="16021852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ghttalk.com/webcast/15381/464444" TargetMode="External"/><Relationship Id="rId13" Type="http://schemas.openxmlformats.org/officeDocument/2006/relationships/hyperlink" Target="mailto:info@tde.de" TargetMode="External"/><Relationship Id="rId18" Type="http://schemas.openxmlformats.org/officeDocument/2006/relationships/hyperlink" Target="http://www.prysmiangroup.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righttalk.com/webcast/15381/464444" TargetMode="External"/><Relationship Id="rId12" Type="http://schemas.openxmlformats.org/officeDocument/2006/relationships/hyperlink" Target="https://www.xing.com/companies/tde-transdataelektronikgmbh/updates" TargetMode="External"/><Relationship Id="rId17" Type="http://schemas.openxmlformats.org/officeDocument/2006/relationships/hyperlink" Target="http://www.epr-online.de/" TargetMode="External"/><Relationship Id="rId2" Type="http://schemas.openxmlformats.org/officeDocument/2006/relationships/styles" Target="styles.xml"/><Relationship Id="rId16" Type="http://schemas.openxmlformats.org/officeDocument/2006/relationships/hyperlink" Target="mailto:sh@epr-online.d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tdeConnect" TargetMode="External"/><Relationship Id="rId5" Type="http://schemas.openxmlformats.org/officeDocument/2006/relationships/footnotes" Target="footnotes.xml"/><Relationship Id="rId15" Type="http://schemas.openxmlformats.org/officeDocument/2006/relationships/hyperlink" Target="mailto:fs@epr-online.de" TargetMode="External"/><Relationship Id="rId10" Type="http://schemas.openxmlformats.org/officeDocument/2006/relationships/hyperlink" Target="https://www.linkedin.com/company/tde-trans-data-elektronik-gmbh/" TargetMode="External"/><Relationship Id="rId19" Type="http://schemas.openxmlformats.org/officeDocument/2006/relationships/hyperlink" Target="https://hello.global.ntt/" TargetMode="External"/><Relationship Id="rId4" Type="http://schemas.openxmlformats.org/officeDocument/2006/relationships/webSettings" Target="webSettings.xml"/><Relationship Id="rId9" Type="http://schemas.openxmlformats.org/officeDocument/2006/relationships/hyperlink" Target="http://www.tde.de/" TargetMode="External"/><Relationship Id="rId14" Type="http://schemas.openxmlformats.org/officeDocument/2006/relationships/hyperlink" Target="http://www.tde.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8174</Characters>
  <Application>Microsoft Office Word</Application>
  <DocSecurity>0</DocSecurity>
  <Lines>68</Lines>
  <Paragraphs>18</Paragraphs>
  <ScaleCrop>false</ScaleCrop>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Schütz | epr - elsaesser public relations</dc:creator>
  <cp:keywords/>
  <dc:description/>
  <cp:lastModifiedBy>Frauke Schütz | epr - elsaesser public relations</cp:lastModifiedBy>
  <cp:revision>6</cp:revision>
  <dcterms:created xsi:type="dcterms:W3CDTF">2021-01-29T11:02:00Z</dcterms:created>
  <dcterms:modified xsi:type="dcterms:W3CDTF">2021-02-01T12:52:00Z</dcterms:modified>
</cp:coreProperties>
</file>