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8079" w14:textId="4E2B1F94" w:rsidR="00DE0BC5" w:rsidRPr="00DE0BC5" w:rsidRDefault="00DE0BC5">
      <w:pPr>
        <w:rPr>
          <w:b/>
          <w:bCs/>
          <w:u w:val="single"/>
        </w:rPr>
      </w:pPr>
      <w:r w:rsidRPr="00DE0BC5">
        <w:rPr>
          <w:b/>
          <w:bCs/>
          <w:u w:val="single"/>
        </w:rPr>
        <w:t xml:space="preserve">Branchenweit erstes Verkabelungssystem mit MDC-Steckverbinder ab sofort verfügbar </w:t>
      </w:r>
    </w:p>
    <w:p w14:paraId="55810910" w14:textId="34CF0DED" w:rsidR="00486419" w:rsidRPr="00486419" w:rsidRDefault="005E4504">
      <w:pPr>
        <w:rPr>
          <w:b/>
          <w:bCs/>
          <w:sz w:val="28"/>
          <w:szCs w:val="28"/>
        </w:rPr>
      </w:pPr>
      <w:r w:rsidRPr="00DE0BC5">
        <w:rPr>
          <w:b/>
          <w:bCs/>
          <w:sz w:val="28"/>
          <w:szCs w:val="28"/>
        </w:rPr>
        <w:t xml:space="preserve">384 Fasern </w:t>
      </w:r>
      <w:r w:rsidR="00E7622D">
        <w:rPr>
          <w:b/>
          <w:bCs/>
          <w:sz w:val="28"/>
          <w:szCs w:val="28"/>
        </w:rPr>
        <w:t xml:space="preserve">auf einer Höheneinheit </w:t>
      </w:r>
      <w:r w:rsidRPr="00DE0BC5">
        <w:rPr>
          <w:b/>
          <w:bCs/>
          <w:sz w:val="28"/>
          <w:szCs w:val="28"/>
        </w:rPr>
        <w:t xml:space="preserve">im </w:t>
      </w:r>
      <w:proofErr w:type="spellStart"/>
      <w:r w:rsidRPr="00DE0BC5">
        <w:rPr>
          <w:b/>
          <w:bCs/>
          <w:sz w:val="28"/>
          <w:szCs w:val="28"/>
        </w:rPr>
        <w:t>Patchbereich</w:t>
      </w:r>
      <w:proofErr w:type="spellEnd"/>
      <w:r w:rsidR="00DE0BC5" w:rsidRPr="00DE0BC5">
        <w:rPr>
          <w:b/>
          <w:bCs/>
          <w:sz w:val="28"/>
          <w:szCs w:val="28"/>
        </w:rPr>
        <w:t xml:space="preserve">: Innovatives tML LWL-MDC-Modul von tde punktet mit High-Density </w:t>
      </w:r>
    </w:p>
    <w:p w14:paraId="651631EC" w14:textId="776D3FAB" w:rsidR="00B533F4" w:rsidRDefault="00B533F4" w:rsidP="00B533F4">
      <w:pPr>
        <w:spacing w:line="360" w:lineRule="auto"/>
        <w:rPr>
          <w:b/>
          <w:bCs/>
        </w:rPr>
      </w:pPr>
      <w:r w:rsidRPr="00486419">
        <w:rPr>
          <w:b/>
          <w:bCs/>
        </w:rPr>
        <w:t xml:space="preserve">Dortmund, </w:t>
      </w:r>
      <w:r w:rsidR="00B34AB9">
        <w:rPr>
          <w:b/>
          <w:bCs/>
        </w:rPr>
        <w:t>10.</w:t>
      </w:r>
      <w:r w:rsidRPr="00486419">
        <w:rPr>
          <w:b/>
          <w:bCs/>
        </w:rPr>
        <w:t xml:space="preserve"> </w:t>
      </w:r>
      <w:r>
        <w:rPr>
          <w:b/>
          <w:bCs/>
        </w:rPr>
        <w:t>November</w:t>
      </w:r>
      <w:r w:rsidRPr="00486419">
        <w:rPr>
          <w:b/>
          <w:bCs/>
        </w:rPr>
        <w:t xml:space="preserve"> 2020. </w:t>
      </w:r>
      <w:r>
        <w:rPr>
          <w:b/>
          <w:bCs/>
        </w:rPr>
        <w:t>Als erster Netzwerkhersteller stellt d</w:t>
      </w:r>
      <w:r w:rsidRPr="00486419">
        <w:rPr>
          <w:b/>
          <w:bCs/>
        </w:rPr>
        <w:t>ie tde -</w:t>
      </w:r>
      <w:r>
        <w:rPr>
          <w:b/>
          <w:bCs/>
        </w:rPr>
        <w:t xml:space="preserve"> </w:t>
      </w:r>
      <w:r w:rsidRPr="00486419">
        <w:rPr>
          <w:b/>
          <w:bCs/>
        </w:rPr>
        <w:t>trans data</w:t>
      </w:r>
      <w:r>
        <w:rPr>
          <w:b/>
          <w:bCs/>
        </w:rPr>
        <w:t xml:space="preserve"> </w:t>
      </w:r>
      <w:r w:rsidRPr="00486419">
        <w:rPr>
          <w:b/>
          <w:bCs/>
        </w:rPr>
        <w:t>elekt</w:t>
      </w:r>
      <w:r>
        <w:rPr>
          <w:b/>
          <w:bCs/>
        </w:rPr>
        <w:t xml:space="preserve">ronik </w:t>
      </w:r>
      <w:r w:rsidRPr="00486419">
        <w:rPr>
          <w:b/>
          <w:bCs/>
        </w:rPr>
        <w:t>GmbH</w:t>
      </w:r>
      <w:r>
        <w:rPr>
          <w:b/>
          <w:bCs/>
        </w:rPr>
        <w:t xml:space="preserve"> ihre erfolgreichen tML-Standard, tML24- und tML</w:t>
      </w:r>
      <w:r w:rsidR="000100CB">
        <w:rPr>
          <w:b/>
          <w:bCs/>
        </w:rPr>
        <w:t>-</w:t>
      </w:r>
      <w:proofErr w:type="spellStart"/>
      <w:r>
        <w:rPr>
          <w:b/>
          <w:bCs/>
        </w:rPr>
        <w:t>Xtended</w:t>
      </w:r>
      <w:proofErr w:type="spellEnd"/>
      <w:r>
        <w:rPr>
          <w:b/>
          <w:bCs/>
        </w:rPr>
        <w:t xml:space="preserve">-Verkabelungssysteme ab sofort auch mit LWL-MDC-Modulen zur Verfügung: Durch die Integration des kompakten MDC-Steckverbinders von US </w:t>
      </w:r>
      <w:proofErr w:type="spellStart"/>
      <w:r>
        <w:rPr>
          <w:b/>
          <w:bCs/>
        </w:rPr>
        <w:t>Conec</w:t>
      </w:r>
      <w:proofErr w:type="spellEnd"/>
      <w:r>
        <w:rPr>
          <w:b/>
          <w:bCs/>
        </w:rPr>
        <w:t xml:space="preserve"> in die Systemplattform verdoppelt sich die Packungsdichte mit 384 Fasern auf einer Höheneinheit im </w:t>
      </w:r>
      <w:proofErr w:type="spellStart"/>
      <w:r w:rsidRPr="00F55C12">
        <w:rPr>
          <w:b/>
          <w:bCs/>
        </w:rPr>
        <w:t>Patchbereich</w:t>
      </w:r>
      <w:proofErr w:type="spellEnd"/>
      <w:r>
        <w:rPr>
          <w:b/>
          <w:bCs/>
        </w:rPr>
        <w:t xml:space="preserve"> gegenüber LC-Duplex-Steckverbindern. Das spart wertvollen Platz in Rechenzentren. Im Rückraum bindet das neue Modul die bewährte MPO-Technologie mit Plug-and-play-Funktionalität ein. Kunden können ihre bestehenden tML-Systeme mit LC-Duplex-Modulen problemlos gegen MDC-Module austauschen und aktualisieren. Damit erhalten sie die branchenweit höchste Packungsdichte mit Einzelfasersteckverbindern und profitieren von investitionssicheren High-Density-Anwendungen, zukunftssicheren Highspeed-Netzwerken mit Übertragungen von bis zu 400G und mehr Energieeffizienz im </w:t>
      </w:r>
      <w:proofErr w:type="spellStart"/>
      <w:r>
        <w:rPr>
          <w:b/>
          <w:bCs/>
        </w:rPr>
        <w:t>Patchbereich</w:t>
      </w:r>
      <w:proofErr w:type="spellEnd"/>
      <w:r>
        <w:rPr>
          <w:b/>
          <w:bCs/>
        </w:rPr>
        <w:t xml:space="preserve">. </w:t>
      </w:r>
    </w:p>
    <w:p w14:paraId="7EFD540A" w14:textId="020CBBD9" w:rsidR="00B533F4" w:rsidRDefault="00B533F4" w:rsidP="00B533F4">
      <w:pPr>
        <w:spacing w:line="360" w:lineRule="auto"/>
      </w:pPr>
      <w:r>
        <w:t xml:space="preserve">Platz in Rechenzentren ist rar und wertvoll. Um die Raumnutzung weiter zu optimieren und den vorhandenen Platz bestmöglich zu nutzen, hat die tde den von US </w:t>
      </w:r>
      <w:proofErr w:type="spellStart"/>
      <w:r>
        <w:t>Conec</w:t>
      </w:r>
      <w:proofErr w:type="spellEnd"/>
      <w:r>
        <w:t xml:space="preserve"> entwickelten kompakten MDC-Steckverbinder erfolgreich in ihre tML-Systemplattformen integriert: „Als Technologie-Pionier sowie langjähriger und vertrauensvoller Partner von US </w:t>
      </w:r>
      <w:proofErr w:type="spellStart"/>
      <w:r>
        <w:t>Conec</w:t>
      </w:r>
      <w:proofErr w:type="spellEnd"/>
      <w:r>
        <w:t xml:space="preserve"> kombinieren wir den Vorteil des sehr kompakten MDC-Steckverbinders mit unsere</w:t>
      </w:r>
      <w:r w:rsidR="00E127BF">
        <w:t>n</w:t>
      </w:r>
      <w:r>
        <w:t xml:space="preserve"> tML-System</w:t>
      </w:r>
      <w:r w:rsidR="00E127BF">
        <w:t>en</w:t>
      </w:r>
      <w:r>
        <w:t>. So können wir bereits heute als erster Hersteller überhaupt eine modulare Verkabelungsplattform basierend auf dem LWL-MDC-Modul anbieten und liefern – damit unterstreichen wir unseren Anspruch als Innovationsführer“, sagt André Engel, Geschäftsführer der tde. Das LWL-MDC-Modul mit dem MDC-Steckverbinder in OM4 ist für die Verkabelungssysteme tML-Standard, tML24- und tML-</w:t>
      </w:r>
      <w:proofErr w:type="spellStart"/>
      <w:r>
        <w:t>Xtended</w:t>
      </w:r>
      <w:proofErr w:type="spellEnd"/>
      <w:r>
        <w:t xml:space="preserve"> verfügbar. </w:t>
      </w:r>
    </w:p>
    <w:p w14:paraId="53197062" w14:textId="14BE2F6F" w:rsidR="0058736A" w:rsidRPr="00C46846" w:rsidRDefault="00324446" w:rsidP="000178E6">
      <w:pPr>
        <w:spacing w:line="360" w:lineRule="auto"/>
        <w:rPr>
          <w:i/>
          <w:iCs/>
        </w:rPr>
      </w:pPr>
      <w:r w:rsidRPr="00C46846">
        <w:rPr>
          <w:i/>
          <w:iCs/>
        </w:rPr>
        <w:t>tML-Packungseffizienz Hoch</w:t>
      </w:r>
      <w:r w:rsidRPr="00C46846">
        <w:rPr>
          <w:i/>
          <w:iCs/>
          <w:vertAlign w:val="superscript"/>
        </w:rPr>
        <w:t>2</w:t>
      </w:r>
      <w:r w:rsidRPr="00C46846">
        <w:rPr>
          <w:i/>
          <w:iCs/>
        </w:rPr>
        <w:t xml:space="preserve"> </w:t>
      </w:r>
      <w:r w:rsidR="00AC2DED" w:rsidRPr="00C46846">
        <w:rPr>
          <w:i/>
          <w:iCs/>
        </w:rPr>
        <w:t xml:space="preserve">und Vervierfachung der Portdichte </w:t>
      </w:r>
      <w:r w:rsidRPr="00C46846">
        <w:rPr>
          <w:i/>
          <w:iCs/>
        </w:rPr>
        <w:t xml:space="preserve"> </w:t>
      </w:r>
    </w:p>
    <w:p w14:paraId="0FD122BB" w14:textId="77777777" w:rsidR="00B533F4" w:rsidRDefault="00B533F4" w:rsidP="00B533F4">
      <w:pPr>
        <w:spacing w:line="360" w:lineRule="auto"/>
      </w:pPr>
      <w:r>
        <w:t xml:space="preserve">Mit dem neuen tML LWL-MDC-Modul kann die tde die Packungseffizienz ihres </w:t>
      </w:r>
      <w:proofErr w:type="spellStart"/>
      <w:r>
        <w:t>skalierfähigen</w:t>
      </w:r>
      <w:proofErr w:type="spellEnd"/>
      <w:r>
        <w:t xml:space="preserve"> tML-Systems im </w:t>
      </w:r>
      <w:proofErr w:type="spellStart"/>
      <w:r>
        <w:t>Patchbereich</w:t>
      </w:r>
      <w:proofErr w:type="spellEnd"/>
      <w:r>
        <w:t xml:space="preserve"> nochmals erheblich steigern: Da mit dem kompakten Steckverbinder bis zu 48 Fasern in einem tML-Modul sowie 192 x 2 Fasern mit insgesamt 384 Fasern auf einer 19-Zoll-Höheneinheit Patz finden, verdoppelt sich die Packungsdichte im Vergleich zur Verwendung von LC-Duplex-Steckverbindern. Gegenüber dem Branchenstandard kann die tde sogar eine um Faktor vier höhere Anzahl an Ports anbieten. Im Rückraum setzen die tML-Module auf die bewährte MPO-Technologie, wobei das tML24-System zwei 24-Faser-MPOs einbindet. „Das Ergebnis sind drastische </w:t>
      </w:r>
      <w:r>
        <w:lastRenderedPageBreak/>
        <w:t xml:space="preserve">Einsparungen an teurer Fläche und ein Mehr an Green IT, da diese Fläche nicht klimatisiert werden muss“, erläutert André Engel. </w:t>
      </w:r>
    </w:p>
    <w:p w14:paraId="5CB7F57E" w14:textId="061A890E" w:rsidR="00B533F4" w:rsidRDefault="001F07F0" w:rsidP="00B533F4">
      <w:pPr>
        <w:spacing w:line="360" w:lineRule="auto"/>
      </w:pPr>
      <w:r>
        <w:rPr>
          <w:i/>
          <w:iCs/>
        </w:rPr>
        <w:t xml:space="preserve">Prädestiniert </w:t>
      </w:r>
      <w:r w:rsidRPr="00D5599B">
        <w:rPr>
          <w:i/>
          <w:iCs/>
        </w:rPr>
        <w:t>für Breakout-Anwendungen</w:t>
      </w:r>
      <w:r>
        <w:t xml:space="preserve"> </w:t>
      </w:r>
      <w:r>
        <w:br/>
      </w:r>
      <w:r w:rsidR="00B533F4">
        <w:t xml:space="preserve">Der auf der 1,25-mm-Vollkeramik-Ferrule basierende MDC-Steckverbinder gehört zur Kategorie der VSFF-Steckverbinder (Very Small Form </w:t>
      </w:r>
      <w:proofErr w:type="spellStart"/>
      <w:r w:rsidR="00B533F4">
        <w:t>Factor</w:t>
      </w:r>
      <w:proofErr w:type="spellEnd"/>
      <w:r w:rsidR="00B533F4">
        <w:t xml:space="preserve">). US </w:t>
      </w:r>
      <w:proofErr w:type="spellStart"/>
      <w:r w:rsidR="00B533F4">
        <w:t>Conec</w:t>
      </w:r>
      <w:proofErr w:type="spellEnd"/>
      <w:r w:rsidR="00B533F4">
        <w:t xml:space="preserve"> hat ihn für die neue Generation der High-Density-Transceiver SFP-DD, QSFP-DD und OSFP mit Übertragungsraten von 200 bis 400G entwickelt und optimiert. Mit seiner Option für Breakout-Anwendungen können Netzwerktechniker die Übertragungsraten in Kanäle mit niedrigerer Kanal-Geschwindigkeit aufteilen. Dadurch lassen sich die Chassis der aktiven Komponenten mit höheren Portzahlen und Packungsdichten effizienter nutzen. </w:t>
      </w:r>
    </w:p>
    <w:p w14:paraId="50E48AA8" w14:textId="1851BFE9" w:rsidR="00092358" w:rsidRDefault="001F07F0" w:rsidP="000178E6">
      <w:pPr>
        <w:spacing w:line="360" w:lineRule="auto"/>
      </w:pPr>
      <w:r>
        <w:t>„</w:t>
      </w:r>
      <w:r w:rsidR="00437FCF">
        <w:t xml:space="preserve">In </w:t>
      </w:r>
      <w:r>
        <w:t xml:space="preserve">naher Zukunft </w:t>
      </w:r>
      <w:r w:rsidR="00437FCF">
        <w:t xml:space="preserve">werden </w:t>
      </w:r>
      <w:r>
        <w:t>Transceiver-Schnittstellen für den MDC-Steckverbinder auf den Markt kommen</w:t>
      </w:r>
      <w:r w:rsidR="00437FCF">
        <w:t>. Gleichwohl bleibt die hochfaserige MPO-Verkabelung</w:t>
      </w:r>
      <w:r w:rsidR="007F225B">
        <w:t xml:space="preserve"> im Rückraum</w:t>
      </w:r>
      <w:r w:rsidR="00437FCF">
        <w:t xml:space="preserve"> mit möglichst flexibler Modultechnik die zukunfts- und investitionssichere Lösung</w:t>
      </w:r>
      <w:r w:rsidR="00092358">
        <w:t xml:space="preserve"> – wenn sie </w:t>
      </w:r>
      <w:r w:rsidR="00092358" w:rsidRPr="00092358">
        <w:rPr>
          <w:i/>
          <w:iCs/>
        </w:rPr>
        <w:t>alle</w:t>
      </w:r>
      <w:r w:rsidR="00092358">
        <w:t xml:space="preserve"> relevanten Steckverbinder integriert“,</w:t>
      </w:r>
      <w:r w:rsidR="00437FCF">
        <w:t xml:space="preserve"> sagt André </w:t>
      </w:r>
      <w:r w:rsidR="00092358">
        <w:t>E</w:t>
      </w:r>
      <w:r w:rsidR="00437FCF">
        <w:t>ng</w:t>
      </w:r>
      <w:r w:rsidR="00092358">
        <w:t>e</w:t>
      </w:r>
      <w:r w:rsidR="00437FCF">
        <w:t>l. „</w:t>
      </w:r>
      <w:r w:rsidR="00092358">
        <w:t xml:space="preserve">Deshalb freuen wir uns, </w:t>
      </w:r>
      <w:r w:rsidR="00DE0BC5">
        <w:t>dass wir mit der erfolgreiche</w:t>
      </w:r>
      <w:r w:rsidR="00E64CA1">
        <w:t>n</w:t>
      </w:r>
      <w:r w:rsidR="00DE0BC5">
        <w:t xml:space="preserve"> MDC-Integration </w:t>
      </w:r>
      <w:r w:rsidR="00092358">
        <w:t>unser</w:t>
      </w:r>
      <w:r w:rsidR="0074258D">
        <w:t>e</w:t>
      </w:r>
      <w:r w:rsidR="00092358">
        <w:t>n Kun</w:t>
      </w:r>
      <w:r w:rsidR="0074258D">
        <w:t>d</w:t>
      </w:r>
      <w:r w:rsidR="00092358">
        <w:t>en die W</w:t>
      </w:r>
      <w:r w:rsidR="0074258D">
        <w:t>a</w:t>
      </w:r>
      <w:r w:rsidR="00092358">
        <w:t xml:space="preserve">hl </w:t>
      </w:r>
      <w:r w:rsidR="0074258D">
        <w:t xml:space="preserve">lassen können, auf welchen Wegen sie zu </w:t>
      </w:r>
      <w:r w:rsidR="00092358">
        <w:t xml:space="preserve">Highspeed-Übertragungen bis </w:t>
      </w:r>
      <w:r w:rsidR="007F225B">
        <w:t xml:space="preserve">aktuell </w:t>
      </w:r>
      <w:r w:rsidR="00092358">
        <w:t xml:space="preserve">400G </w:t>
      </w:r>
      <w:r w:rsidR="0074258D">
        <w:t xml:space="preserve">migrieren wollen.“ </w:t>
      </w:r>
    </w:p>
    <w:p w14:paraId="08EFD866" w14:textId="37C35A4F" w:rsidR="00D6422F" w:rsidRPr="008379C6" w:rsidRDefault="00B533F4" w:rsidP="00E127BF">
      <w:pPr>
        <w:spacing w:line="276" w:lineRule="auto"/>
        <w:rPr>
          <w:sz w:val="18"/>
          <w:szCs w:val="16"/>
        </w:rPr>
      </w:pPr>
      <w:r w:rsidRPr="00B533F4">
        <w:rPr>
          <w:b/>
          <w:bCs/>
        </w:rPr>
        <w:t xml:space="preserve">Weitere Informationen zum neuen tML LWL-MDC-Modul finden Sie auch unter: </w:t>
      </w:r>
      <w:hyperlink r:id="rId7" w:history="1">
        <w:r w:rsidRPr="00B533F4">
          <w:rPr>
            <w:rStyle w:val="Hyperlink"/>
          </w:rPr>
          <w:t>https://www.tde.de/de/produktdetails/tml-24-lwl-modul-2x-24f-mpo-ohne-pins-24x-mdc-50-125u-om4-tml-m24md-02m2-50g4-50545.html</w:t>
        </w:r>
      </w:hyperlink>
      <w:r w:rsidR="00E127BF">
        <w:rPr>
          <w:rStyle w:val="Hyperlink"/>
        </w:rPr>
        <w:br/>
      </w:r>
      <w:r w:rsidR="00E127BF">
        <w:br/>
      </w:r>
      <w:r w:rsidRPr="00B533F4">
        <w:br/>
      </w:r>
      <w:r w:rsidR="00D6422F">
        <w:rPr>
          <w:rFonts w:cs="Verdana"/>
          <w:b/>
          <w:bCs/>
          <w:sz w:val="18"/>
          <w:szCs w:val="16"/>
        </w:rPr>
        <w:t>Über die tde – trans data elektronik GmbH</w:t>
      </w:r>
      <w:r w:rsidR="00D6422F">
        <w:rPr>
          <w:sz w:val="18"/>
          <w:szCs w:val="16"/>
        </w:rPr>
        <w:br/>
        <w:t xml:space="preserve">Als international erfolgreiches Unternehmen ist die tde – trans data elektronik GmbH seit mehr als 25 Jahren auf die Entwicklung und Herstellung skalierbarer Verkabelungssysteme für größte Packungsdichten spezialisiert. Auch das </w:t>
      </w:r>
      <w:r w:rsidR="00D6422F">
        <w:rPr>
          <w:rFonts w:cs="Cambria"/>
          <w:sz w:val="18"/>
          <w:szCs w:val="16"/>
        </w:rPr>
        <w:t xml:space="preserve">Kernforschungszentrum </w:t>
      </w:r>
      <w:r w:rsidR="00D6422F"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 w:rsidR="00D6422F">
        <w:rPr>
          <w:sz w:val="18"/>
          <w:szCs w:val="16"/>
        </w:rPr>
        <w:t xml:space="preserve"> Mehrfasertechnik (MPO)</w:t>
      </w:r>
      <w:r w:rsidR="00D6422F">
        <w:rPr>
          <w:color w:val="000000"/>
          <w:sz w:val="18"/>
          <w:szCs w:val="16"/>
        </w:rPr>
        <w:t xml:space="preserve">. Das Portfolio </w:t>
      </w:r>
      <w:r w:rsidR="00D6422F">
        <w:rPr>
          <w:sz w:val="18"/>
          <w:szCs w:val="16"/>
        </w:rPr>
        <w:t xml:space="preserve">„Made in Germany“ </w:t>
      </w:r>
      <w:r w:rsidR="00D6422F">
        <w:rPr>
          <w:color w:val="000000"/>
          <w:sz w:val="18"/>
          <w:szCs w:val="16"/>
        </w:rPr>
        <w:t>umfasst komplette Systemlösungen mit Schwerpunkt Plug-and-play</w:t>
      </w:r>
      <w:r w:rsidR="00D6422F">
        <w:rPr>
          <w:sz w:val="18"/>
          <w:szCs w:val="16"/>
        </w:rPr>
        <w:t xml:space="preserve"> für High-Speed-Anwendungen im Bereich Datacom, Telecom, Industry, Medical und Defence. tde bietet mit einer eigenen Service</w:t>
      </w:r>
      <w:r w:rsidR="00DE0BC5">
        <w:rPr>
          <w:sz w:val="18"/>
          <w:szCs w:val="16"/>
        </w:rPr>
        <w:t>-</w:t>
      </w:r>
      <w:r w:rsidR="00D6422F">
        <w:rPr>
          <w:sz w:val="18"/>
          <w:szCs w:val="16"/>
        </w:rPr>
        <w:t xml:space="preserve">Abteilung Planungs- und Installationsleistungen aus einer Hand und unterstützt den „European Code of Conduct“ für Energieeffizienz in Rechenzentren. Mehr unter: </w:t>
      </w:r>
      <w:hyperlink r:id="rId8" w:history="1">
        <w:r w:rsidR="00D6422F">
          <w:rPr>
            <w:rStyle w:val="Hyperlink"/>
            <w:sz w:val="18"/>
          </w:rPr>
          <w:t>www.tde.de</w:t>
        </w:r>
      </w:hyperlink>
      <w:r w:rsidR="00D6422F">
        <w:rPr>
          <w:rStyle w:val="Hyperlink"/>
          <w:sz w:val="18"/>
        </w:rPr>
        <w:t xml:space="preserve"> </w:t>
      </w:r>
      <w:r w:rsidR="00D6422F" w:rsidRPr="008379C6">
        <w:rPr>
          <w:sz w:val="18"/>
          <w:szCs w:val="16"/>
        </w:rPr>
        <w:t xml:space="preserve">sowie auf </w:t>
      </w:r>
      <w:hyperlink r:id="rId9" w:history="1">
        <w:r w:rsidR="00D6422F" w:rsidRPr="008379C6">
          <w:rPr>
            <w:rStyle w:val="Hyperlink"/>
            <w:sz w:val="18"/>
            <w:szCs w:val="16"/>
          </w:rPr>
          <w:t>LinkedIn</w:t>
        </w:r>
      </w:hyperlink>
      <w:r w:rsidR="00D6422F" w:rsidRPr="008379C6">
        <w:rPr>
          <w:sz w:val="18"/>
          <w:szCs w:val="16"/>
        </w:rPr>
        <w:t xml:space="preserve">, </w:t>
      </w:r>
      <w:hyperlink r:id="rId10" w:history="1">
        <w:r w:rsidR="00D6422F" w:rsidRPr="008379C6">
          <w:rPr>
            <w:rStyle w:val="Hyperlink"/>
            <w:sz w:val="18"/>
            <w:szCs w:val="16"/>
          </w:rPr>
          <w:t>Twitter</w:t>
        </w:r>
      </w:hyperlink>
      <w:r w:rsidR="00D6422F" w:rsidRPr="008379C6">
        <w:rPr>
          <w:sz w:val="18"/>
          <w:szCs w:val="16"/>
        </w:rPr>
        <w:t xml:space="preserve"> und </w:t>
      </w:r>
      <w:hyperlink r:id="rId11" w:history="1">
        <w:r w:rsidR="00D6422F" w:rsidRPr="00D6422F">
          <w:rPr>
            <w:rStyle w:val="Hyperlink"/>
            <w:sz w:val="18"/>
            <w:szCs w:val="16"/>
          </w:rPr>
          <w:t>Xing</w:t>
        </w:r>
      </w:hyperlink>
      <w:r w:rsidR="00D6422F" w:rsidRPr="008379C6">
        <w:rPr>
          <w:sz w:val="18"/>
          <w:szCs w:val="16"/>
        </w:rPr>
        <w:t xml:space="preserve">. </w:t>
      </w:r>
    </w:p>
    <w:p w14:paraId="744D8011" w14:textId="77777777" w:rsidR="00D6422F" w:rsidRPr="00B533F4" w:rsidRDefault="00D6422F" w:rsidP="00D6422F">
      <w:pPr>
        <w:widowControl w:val="0"/>
        <w:autoSpaceDE w:val="0"/>
        <w:autoSpaceDN w:val="0"/>
        <w:adjustRightInd w:val="0"/>
        <w:spacing w:after="240"/>
        <w:rPr>
          <w:rStyle w:val="Hyperlink"/>
        </w:rPr>
      </w:pP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2" w:history="1">
        <w:r>
          <w:rPr>
            <w:rStyle w:val="Hyperlink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3" w:history="1">
        <w:r>
          <w:rPr>
            <w:rStyle w:val="Hyperlink"/>
            <w:sz w:val="18"/>
          </w:rPr>
          <w:t>www.tde.de</w:t>
        </w:r>
      </w:hyperlink>
    </w:p>
    <w:p w14:paraId="5C370329" w14:textId="77777777" w:rsidR="00D6422F" w:rsidRDefault="00D6422F" w:rsidP="00D6422F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t>Pressekontakt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epr – elsaesser public relations, Maximilianstraße 50, D - 86150 Augsburg</w:t>
      </w:r>
    </w:p>
    <w:p w14:paraId="458126D1" w14:textId="77777777" w:rsidR="00D6422F" w:rsidRDefault="00D6422F" w:rsidP="00D6422F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4" w:history="1">
        <w:r>
          <w:rPr>
            <w:rStyle w:val="Hyperlink"/>
            <w:sz w:val="18"/>
          </w:rPr>
          <w:t>fs@epr-online.de</w:t>
        </w:r>
      </w:hyperlink>
    </w:p>
    <w:p w14:paraId="06BB017C" w14:textId="77777777" w:rsidR="00D6422F" w:rsidRDefault="00D6422F" w:rsidP="00D6422F">
      <w:pPr>
        <w:spacing w:after="0"/>
        <w:jc w:val="both"/>
      </w:pPr>
      <w:r>
        <w:rPr>
          <w:sz w:val="18"/>
          <w:szCs w:val="16"/>
        </w:rPr>
        <w:t>Sabine Hensold, Tel: +49 821 4508 7917,</w:t>
      </w:r>
      <w:r>
        <w:rPr>
          <w:b/>
          <w:sz w:val="18"/>
          <w:szCs w:val="16"/>
        </w:rPr>
        <w:t xml:space="preserve"> </w:t>
      </w:r>
      <w:hyperlink r:id="rId15" w:history="1">
        <w:r>
          <w:rPr>
            <w:rStyle w:val="Hyperlink"/>
            <w:sz w:val="18"/>
          </w:rPr>
          <w:t>sh@epr-online.de</w:t>
        </w:r>
      </w:hyperlink>
    </w:p>
    <w:p w14:paraId="0BE05E90" w14:textId="5C6C5161" w:rsidR="00D6422F" w:rsidRDefault="00B34AB9" w:rsidP="00E127BF">
      <w:pPr>
        <w:spacing w:after="0"/>
        <w:jc w:val="both"/>
        <w:rPr>
          <w:color w:val="FF0000"/>
        </w:rPr>
      </w:pPr>
      <w:hyperlink r:id="rId16" w:history="1">
        <w:r w:rsidR="00D6422F">
          <w:rPr>
            <w:rStyle w:val="Hyperlink"/>
            <w:sz w:val="18"/>
          </w:rPr>
          <w:t>www.epr-online.de</w:t>
        </w:r>
      </w:hyperlink>
    </w:p>
    <w:sectPr w:rsidR="00D6422F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86EAA" w14:textId="77777777" w:rsidR="00120F03" w:rsidRDefault="00120F03" w:rsidP="00D6422F">
      <w:pPr>
        <w:spacing w:after="0" w:line="240" w:lineRule="auto"/>
      </w:pPr>
      <w:r>
        <w:separator/>
      </w:r>
    </w:p>
  </w:endnote>
  <w:endnote w:type="continuationSeparator" w:id="0">
    <w:p w14:paraId="1A73496E" w14:textId="77777777" w:rsidR="00120F03" w:rsidRDefault="00120F03" w:rsidP="00D6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5B5C6" w14:textId="77777777" w:rsidR="00120F03" w:rsidRDefault="00120F03" w:rsidP="00D6422F">
      <w:pPr>
        <w:spacing w:after="0" w:line="240" w:lineRule="auto"/>
      </w:pPr>
      <w:r>
        <w:separator/>
      </w:r>
    </w:p>
  </w:footnote>
  <w:footnote w:type="continuationSeparator" w:id="0">
    <w:p w14:paraId="21987C98" w14:textId="77777777" w:rsidR="00120F03" w:rsidRDefault="00120F03" w:rsidP="00D6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AA35F" w14:textId="77777777" w:rsidR="00D6422F" w:rsidRDefault="00D6422F" w:rsidP="00D6422F">
    <w:pPr>
      <w:pStyle w:val="Kopfzeile"/>
      <w:tabs>
        <w:tab w:val="left" w:pos="7662"/>
      </w:tabs>
      <w:rPr>
        <w:rFonts w:ascii="Verdana" w:hAnsi="Verdana" w:cs="Verdana"/>
        <w:color w:val="808080"/>
        <w:sz w:val="20"/>
        <w:szCs w:val="20"/>
      </w:rPr>
    </w:pPr>
    <w:r>
      <w:rPr>
        <w:rFonts w:ascii="Verdana" w:hAnsi="Verdana" w:cs="Verdana"/>
        <w:color w:val="808080"/>
        <w:sz w:val="20"/>
        <w:szCs w:val="20"/>
      </w:rPr>
      <w:tab/>
    </w:r>
    <w:r>
      <w:rPr>
        <w:rFonts w:ascii="Verdana" w:hAnsi="Verdana" w:cs="Verdana"/>
        <w:color w:val="808080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6753CC6F" wp14:editId="14D6AA73">
          <wp:simplePos x="0" y="0"/>
          <wp:positionH relativeFrom="column">
            <wp:posOffset>4743450</wp:posOffset>
          </wp:positionH>
          <wp:positionV relativeFrom="paragraph">
            <wp:posOffset>-131445</wp:posOffset>
          </wp:positionV>
          <wp:extent cx="1416050" cy="659130"/>
          <wp:effectExtent l="0" t="0" r="0" b="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A47A8" w14:textId="77777777" w:rsidR="00D6422F" w:rsidRDefault="00D6422F" w:rsidP="00D6422F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1D3BD133" w14:textId="77777777" w:rsidR="00D6422F" w:rsidRDefault="00D6422F" w:rsidP="00D6422F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1AD54ADA" w14:textId="77777777" w:rsidR="00D6422F" w:rsidRDefault="00D6422F" w:rsidP="00D6422F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</w:p>
  <w:p w14:paraId="756CBB21" w14:textId="77777777" w:rsidR="00D6422F" w:rsidRDefault="00D6422F" w:rsidP="00D6422F">
    <w:pPr>
      <w:pStyle w:val="Kopfzeile"/>
      <w:jc w:val="right"/>
    </w:pPr>
    <w:r w:rsidRPr="00DE7D51">
      <w:rPr>
        <w:rFonts w:ascii="Verdana" w:hAnsi="Verdana" w:cs="Verdana"/>
        <w:color w:val="808080"/>
        <w:sz w:val="20"/>
        <w:szCs w:val="20"/>
      </w:rPr>
      <w:t>Pressemitteilung</w:t>
    </w:r>
    <w:r>
      <w:rPr>
        <w:noProof/>
        <w:lang w:eastAsia="de-DE"/>
      </w:rPr>
      <w:t xml:space="preserve"> </w:t>
    </w:r>
  </w:p>
  <w:p w14:paraId="50630E18" w14:textId="77777777" w:rsidR="00D6422F" w:rsidRDefault="00D642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3B"/>
    <w:rsid w:val="000100CB"/>
    <w:rsid w:val="00012948"/>
    <w:rsid w:val="000178E6"/>
    <w:rsid w:val="00085C80"/>
    <w:rsid w:val="00092358"/>
    <w:rsid w:val="001130A5"/>
    <w:rsid w:val="00120F03"/>
    <w:rsid w:val="0014403A"/>
    <w:rsid w:val="001703DF"/>
    <w:rsid w:val="001C6BA0"/>
    <w:rsid w:val="001F07F0"/>
    <w:rsid w:val="002A6993"/>
    <w:rsid w:val="003000E9"/>
    <w:rsid w:val="00324446"/>
    <w:rsid w:val="003863C8"/>
    <w:rsid w:val="00414C9F"/>
    <w:rsid w:val="004248C4"/>
    <w:rsid w:val="00437FCF"/>
    <w:rsid w:val="00447D90"/>
    <w:rsid w:val="00463203"/>
    <w:rsid w:val="0047179B"/>
    <w:rsid w:val="00486419"/>
    <w:rsid w:val="004B334C"/>
    <w:rsid w:val="00525459"/>
    <w:rsid w:val="00527BF0"/>
    <w:rsid w:val="00542B81"/>
    <w:rsid w:val="0058736A"/>
    <w:rsid w:val="005E4504"/>
    <w:rsid w:val="0074258D"/>
    <w:rsid w:val="007439AD"/>
    <w:rsid w:val="0075429C"/>
    <w:rsid w:val="007862C7"/>
    <w:rsid w:val="007A4678"/>
    <w:rsid w:val="007A5000"/>
    <w:rsid w:val="007E0A90"/>
    <w:rsid w:val="007F225B"/>
    <w:rsid w:val="00823E78"/>
    <w:rsid w:val="008A2568"/>
    <w:rsid w:val="0091646D"/>
    <w:rsid w:val="009771D9"/>
    <w:rsid w:val="00A562C4"/>
    <w:rsid w:val="00A96598"/>
    <w:rsid w:val="00AC2DED"/>
    <w:rsid w:val="00AC4CE7"/>
    <w:rsid w:val="00AC6D32"/>
    <w:rsid w:val="00B1653B"/>
    <w:rsid w:val="00B34AB9"/>
    <w:rsid w:val="00B533F4"/>
    <w:rsid w:val="00B85089"/>
    <w:rsid w:val="00BA1C53"/>
    <w:rsid w:val="00BD278E"/>
    <w:rsid w:val="00BE5999"/>
    <w:rsid w:val="00BF50DA"/>
    <w:rsid w:val="00C46846"/>
    <w:rsid w:val="00CE4987"/>
    <w:rsid w:val="00D6422F"/>
    <w:rsid w:val="00DA74AB"/>
    <w:rsid w:val="00DE0BC5"/>
    <w:rsid w:val="00E118F9"/>
    <w:rsid w:val="00E127BF"/>
    <w:rsid w:val="00E64CA1"/>
    <w:rsid w:val="00E7622D"/>
    <w:rsid w:val="00F00980"/>
    <w:rsid w:val="00F35EBD"/>
    <w:rsid w:val="00F55C12"/>
    <w:rsid w:val="00F901D2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A12C"/>
  <w15:chartTrackingRefBased/>
  <w15:docId w15:val="{62E97B47-8575-4AB9-B5CC-88E8C74B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9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0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07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07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07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07F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22F"/>
  </w:style>
  <w:style w:type="paragraph" w:styleId="Fuzeile">
    <w:name w:val="footer"/>
    <w:basedOn w:val="Standard"/>
    <w:link w:val="FuzeileZchn"/>
    <w:uiPriority w:val="99"/>
    <w:unhideWhenUsed/>
    <w:rsid w:val="00D64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22F"/>
  </w:style>
  <w:style w:type="character" w:styleId="Hyperlink">
    <w:name w:val="Hyperlink"/>
    <w:basedOn w:val="Absatz-Standardschriftart"/>
    <w:uiPriority w:val="99"/>
    <w:unhideWhenUsed/>
    <w:rsid w:val="00D6422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6422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4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e.de/" TargetMode="External"/><Relationship Id="rId13" Type="http://schemas.openxmlformats.org/officeDocument/2006/relationships/hyperlink" Target="http://www.tde.d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de.de/de/produktdetails/tml-24-lwl-modul-2x-24f-mpo-ohne-pins-24x-mdc-50-125u-om4-tml-m24md-02m2-50g4-50545.html" TargetMode="External"/><Relationship Id="rId12" Type="http://schemas.openxmlformats.org/officeDocument/2006/relationships/hyperlink" Target="mailto:info@tde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pr-online.d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xing.com/companies/tde-transdataelektronikgmb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@epr-online.de" TargetMode="External"/><Relationship Id="rId10" Type="http://schemas.openxmlformats.org/officeDocument/2006/relationships/hyperlink" Target="https://twitter.com/tdeConnec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tde-trans-data-elektronik-gmbh/" TargetMode="External"/><Relationship Id="rId14" Type="http://schemas.openxmlformats.org/officeDocument/2006/relationships/hyperlink" Target="mailto:fs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6FCF-AB13-436A-8D85-83DA5D1A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Frauke Schütz | epr - elsaesser public relations</cp:lastModifiedBy>
  <cp:revision>4</cp:revision>
  <dcterms:created xsi:type="dcterms:W3CDTF">2020-11-04T07:59:00Z</dcterms:created>
  <dcterms:modified xsi:type="dcterms:W3CDTF">2020-11-06T09:59:00Z</dcterms:modified>
</cp:coreProperties>
</file>