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741E1" w14:textId="77777777" w:rsidR="00E11FAE" w:rsidRPr="009203B2" w:rsidRDefault="00E11FAE" w:rsidP="00E11FAE">
      <w:pPr>
        <w:pStyle w:val="KeinLeerraum"/>
        <w:spacing w:after="120"/>
        <w:rPr>
          <w:rFonts w:ascii="Verdana" w:hAnsi="Verdana"/>
          <w:sz w:val="20"/>
          <w:szCs w:val="20"/>
          <w:u w:val="single"/>
        </w:rPr>
      </w:pPr>
      <w:r>
        <w:rPr>
          <w:rFonts w:ascii="Verdana" w:hAnsi="Verdana"/>
          <w:sz w:val="20"/>
          <w:szCs w:val="20"/>
          <w:u w:val="single"/>
        </w:rPr>
        <w:t>Digitales Go Live Event des Ortungsstandards „</w:t>
      </w:r>
      <w:proofErr w:type="spellStart"/>
      <w:r>
        <w:rPr>
          <w:rFonts w:ascii="Verdana" w:hAnsi="Verdana"/>
          <w:sz w:val="20"/>
          <w:szCs w:val="20"/>
          <w:u w:val="single"/>
        </w:rPr>
        <w:t>omlox</w:t>
      </w:r>
      <w:proofErr w:type="spellEnd"/>
      <w:r>
        <w:rPr>
          <w:rFonts w:ascii="Verdana" w:hAnsi="Verdana"/>
          <w:sz w:val="20"/>
          <w:szCs w:val="20"/>
          <w:u w:val="single"/>
        </w:rPr>
        <w:t xml:space="preserve">“ mit SWAN, Trumpf und weiteren Industriepartnern </w:t>
      </w:r>
    </w:p>
    <w:p w14:paraId="77C746A0" w14:textId="77777777" w:rsidR="00E11FAE" w:rsidRPr="009203B2" w:rsidRDefault="00E11FAE" w:rsidP="00E11FAE">
      <w:pPr>
        <w:spacing w:after="240" w:line="480" w:lineRule="atLeast"/>
        <w:rPr>
          <w:rFonts w:ascii="Verdana" w:hAnsi="Verdana"/>
          <w:b/>
          <w:bCs/>
          <w:sz w:val="32"/>
          <w:szCs w:val="32"/>
        </w:rPr>
      </w:pPr>
      <w:r w:rsidRPr="009203B2">
        <w:rPr>
          <w:rFonts w:ascii="Verdana" w:hAnsi="Verdana"/>
          <w:b/>
          <w:bCs/>
          <w:sz w:val="32"/>
          <w:szCs w:val="32"/>
        </w:rPr>
        <w:t>SWAN zieht positive Bi</w:t>
      </w:r>
      <w:r>
        <w:rPr>
          <w:rFonts w:ascii="Verdana" w:hAnsi="Verdana"/>
          <w:b/>
          <w:bCs/>
          <w:sz w:val="32"/>
          <w:szCs w:val="32"/>
        </w:rPr>
        <w:t>l</w:t>
      </w:r>
      <w:r w:rsidRPr="009203B2">
        <w:rPr>
          <w:rFonts w:ascii="Verdana" w:hAnsi="Verdana"/>
          <w:b/>
          <w:bCs/>
          <w:sz w:val="32"/>
          <w:szCs w:val="32"/>
        </w:rPr>
        <w:t xml:space="preserve">anz </w:t>
      </w:r>
    </w:p>
    <w:p w14:paraId="32ED6BED" w14:textId="665F7DA4" w:rsidR="00E11FAE" w:rsidRPr="0090175F" w:rsidRDefault="00E11FAE" w:rsidP="00E11FAE">
      <w:pPr>
        <w:spacing w:before="120" w:after="120" w:line="360" w:lineRule="atLeast"/>
        <w:jc w:val="both"/>
        <w:rPr>
          <w:rFonts w:ascii="Verdana" w:hAnsi="Verdana"/>
          <w:b/>
          <w:bCs/>
          <w:sz w:val="20"/>
          <w:szCs w:val="20"/>
        </w:rPr>
      </w:pPr>
      <w:r w:rsidRPr="4EAD76BC">
        <w:rPr>
          <w:rFonts w:ascii="Verdana" w:hAnsi="Verdana"/>
          <w:b/>
          <w:bCs/>
          <w:sz w:val="20"/>
          <w:szCs w:val="20"/>
        </w:rPr>
        <w:t xml:space="preserve">Augsburg, </w:t>
      </w:r>
      <w:r w:rsidR="638592FA" w:rsidRPr="4EAD76BC">
        <w:rPr>
          <w:rFonts w:ascii="Verdana" w:hAnsi="Verdana"/>
          <w:b/>
          <w:bCs/>
          <w:sz w:val="20"/>
          <w:szCs w:val="20"/>
        </w:rPr>
        <w:t>14</w:t>
      </w:r>
      <w:r w:rsidRPr="4EAD76BC">
        <w:rPr>
          <w:rFonts w:ascii="Verdana" w:hAnsi="Verdana"/>
          <w:b/>
          <w:bCs/>
          <w:sz w:val="20"/>
          <w:szCs w:val="20"/>
        </w:rPr>
        <w:t xml:space="preserve">.07.2020 – Im Rahmen eines viertägigen Online Go Live Events vom 29.06.-02.07. ist </w:t>
      </w:r>
      <w:r w:rsidR="00603064">
        <w:rPr>
          <w:rFonts w:ascii="Verdana" w:hAnsi="Verdana"/>
          <w:b/>
          <w:bCs/>
          <w:sz w:val="20"/>
          <w:szCs w:val="20"/>
        </w:rPr>
        <w:t xml:space="preserve">der Industriestandard </w:t>
      </w:r>
      <w:r w:rsidRPr="4EAD76BC">
        <w:rPr>
          <w:rFonts w:ascii="Verdana" w:hAnsi="Verdana"/>
          <w:b/>
          <w:bCs/>
          <w:sz w:val="20"/>
          <w:szCs w:val="20"/>
        </w:rPr>
        <w:t>„</w:t>
      </w:r>
      <w:proofErr w:type="spellStart"/>
      <w:r w:rsidRPr="4EAD76BC">
        <w:rPr>
          <w:rFonts w:ascii="Verdana" w:hAnsi="Verdana"/>
          <w:b/>
          <w:bCs/>
          <w:sz w:val="20"/>
          <w:szCs w:val="20"/>
        </w:rPr>
        <w:t>omlox</w:t>
      </w:r>
      <w:proofErr w:type="spellEnd"/>
      <w:r w:rsidRPr="4EAD76BC">
        <w:rPr>
          <w:rFonts w:ascii="Verdana" w:hAnsi="Verdana"/>
          <w:b/>
          <w:bCs/>
          <w:sz w:val="20"/>
          <w:szCs w:val="20"/>
        </w:rPr>
        <w:t xml:space="preserve">“ an den Start gegangen. Der von SWAN, Trumpf, GFT, T-Systems, Sick, </w:t>
      </w:r>
      <w:proofErr w:type="spellStart"/>
      <w:r w:rsidRPr="4EAD76BC">
        <w:rPr>
          <w:rFonts w:ascii="Verdana" w:hAnsi="Verdana"/>
          <w:b/>
          <w:bCs/>
          <w:sz w:val="20"/>
          <w:szCs w:val="20"/>
        </w:rPr>
        <w:t>Pepperl</w:t>
      </w:r>
      <w:proofErr w:type="spellEnd"/>
      <w:r w:rsidRPr="4EAD76BC">
        <w:rPr>
          <w:rFonts w:ascii="Verdana" w:hAnsi="Verdana"/>
          <w:b/>
          <w:bCs/>
          <w:sz w:val="20"/>
          <w:szCs w:val="20"/>
        </w:rPr>
        <w:t xml:space="preserve"> + Fuchs, </w:t>
      </w:r>
      <w:proofErr w:type="spellStart"/>
      <w:r w:rsidRPr="4EAD76BC">
        <w:rPr>
          <w:rFonts w:ascii="Verdana" w:hAnsi="Verdana"/>
          <w:b/>
          <w:bCs/>
          <w:sz w:val="20"/>
          <w:szCs w:val="20"/>
        </w:rPr>
        <w:t>BeSpoon</w:t>
      </w:r>
      <w:proofErr w:type="spellEnd"/>
      <w:r w:rsidRPr="4EAD76BC">
        <w:rPr>
          <w:rFonts w:ascii="Verdana" w:hAnsi="Verdana"/>
          <w:b/>
          <w:bCs/>
          <w:sz w:val="20"/>
          <w:szCs w:val="20"/>
        </w:rPr>
        <w:t xml:space="preserve"> und über 50 weiteren Partnern entwickelte Ortungsstandard integriert verschiedene Lokalisierungstechnologien wie UWB, BLE, RFID, 5G oder GPS und stellt die Ortungsdaten über eine einheitliche Schnittstelle bereit. In Online-Seminaren und Deep </w:t>
      </w:r>
      <w:proofErr w:type="spellStart"/>
      <w:r w:rsidRPr="4EAD76BC">
        <w:rPr>
          <w:rFonts w:ascii="Verdana" w:hAnsi="Verdana"/>
          <w:b/>
          <w:bCs/>
          <w:sz w:val="20"/>
          <w:szCs w:val="20"/>
        </w:rPr>
        <w:t>Dive</w:t>
      </w:r>
      <w:proofErr w:type="spellEnd"/>
      <w:r w:rsidRPr="4EAD76BC">
        <w:rPr>
          <w:rFonts w:ascii="Verdana" w:hAnsi="Verdana"/>
          <w:b/>
          <w:bCs/>
          <w:sz w:val="20"/>
          <w:szCs w:val="20"/>
        </w:rPr>
        <w:t xml:space="preserve"> Sessions präsentierten die Partner ihre zukunftsweisenden „</w:t>
      </w:r>
      <w:proofErr w:type="spellStart"/>
      <w:r w:rsidRPr="4EAD76BC">
        <w:rPr>
          <w:rFonts w:ascii="Verdana" w:hAnsi="Verdana"/>
          <w:b/>
          <w:bCs/>
          <w:sz w:val="20"/>
          <w:szCs w:val="20"/>
        </w:rPr>
        <w:t>omlox</w:t>
      </w:r>
      <w:proofErr w:type="spellEnd"/>
      <w:r w:rsidRPr="4EAD76BC">
        <w:rPr>
          <w:rFonts w:ascii="Verdana" w:hAnsi="Verdana"/>
          <w:b/>
          <w:bCs/>
          <w:sz w:val="20"/>
          <w:szCs w:val="20"/>
        </w:rPr>
        <w:t xml:space="preserve">“-Technologien. SWAN bringt die Softwarelösung </w:t>
      </w:r>
      <w:proofErr w:type="spellStart"/>
      <w:r w:rsidRPr="4EAD76BC">
        <w:rPr>
          <w:rFonts w:ascii="Verdana" w:hAnsi="Verdana"/>
          <w:b/>
          <w:bCs/>
          <w:sz w:val="20"/>
          <w:szCs w:val="20"/>
        </w:rPr>
        <w:t>Heatmap</w:t>
      </w:r>
      <w:proofErr w:type="spellEnd"/>
      <w:r w:rsidRPr="4EAD76BC">
        <w:rPr>
          <w:rFonts w:ascii="Verdana" w:hAnsi="Verdana"/>
          <w:b/>
          <w:bCs/>
          <w:sz w:val="20"/>
          <w:szCs w:val="20"/>
        </w:rPr>
        <w:t xml:space="preserve"> in die Initiative ein.</w:t>
      </w:r>
    </w:p>
    <w:p w14:paraId="59522A0E" w14:textId="67216F98" w:rsidR="00E11FAE" w:rsidRPr="000C0843" w:rsidRDefault="00E11FAE" w:rsidP="00E11FAE">
      <w:pPr>
        <w:spacing w:before="120" w:after="120" w:line="360" w:lineRule="atLeast"/>
        <w:jc w:val="both"/>
        <w:rPr>
          <w:rFonts w:ascii="Verdana" w:hAnsi="Verdana"/>
          <w:sz w:val="20"/>
          <w:szCs w:val="20"/>
        </w:rPr>
      </w:pPr>
      <w:r w:rsidRPr="4EAD76BC">
        <w:rPr>
          <w:rFonts w:ascii="Verdana" w:hAnsi="Verdana"/>
          <w:sz w:val="20"/>
          <w:szCs w:val="20"/>
        </w:rPr>
        <w:t xml:space="preserve">„Das Event war sehr konstruktiv. Hervorzuheben ist der spannende Live-Teil in Teningen im </w:t>
      </w:r>
      <w:proofErr w:type="spellStart"/>
      <w:r w:rsidRPr="4EAD76BC">
        <w:rPr>
          <w:rFonts w:ascii="Verdana" w:hAnsi="Verdana"/>
          <w:sz w:val="20"/>
          <w:szCs w:val="20"/>
        </w:rPr>
        <w:t>Testbed</w:t>
      </w:r>
      <w:proofErr w:type="spellEnd"/>
      <w:r w:rsidRPr="4EAD76BC">
        <w:rPr>
          <w:rFonts w:ascii="Verdana" w:hAnsi="Verdana"/>
          <w:sz w:val="20"/>
          <w:szCs w:val="20"/>
        </w:rPr>
        <w:t xml:space="preserve">, weil sowohl Global Player wie Telekom oder Amazon als auch </w:t>
      </w:r>
      <w:r w:rsidR="7E90AEDC" w:rsidRPr="4EAD76BC">
        <w:rPr>
          <w:rFonts w:ascii="Verdana" w:hAnsi="Verdana"/>
          <w:sz w:val="20"/>
          <w:szCs w:val="20"/>
        </w:rPr>
        <w:t>junge Unternehmen</w:t>
      </w:r>
      <w:r w:rsidRPr="4EAD76BC">
        <w:rPr>
          <w:rFonts w:ascii="Verdana" w:hAnsi="Verdana"/>
          <w:sz w:val="20"/>
          <w:szCs w:val="20"/>
        </w:rPr>
        <w:t xml:space="preserve"> wie </w:t>
      </w:r>
      <w:proofErr w:type="spellStart"/>
      <w:r w:rsidRPr="4EAD76BC">
        <w:rPr>
          <w:rFonts w:ascii="Verdana" w:hAnsi="Verdana"/>
          <w:sz w:val="20"/>
          <w:szCs w:val="20"/>
        </w:rPr>
        <w:t>Naise</w:t>
      </w:r>
      <w:proofErr w:type="spellEnd"/>
      <w:r w:rsidRPr="4EAD76BC">
        <w:rPr>
          <w:rFonts w:ascii="Verdana" w:hAnsi="Verdana"/>
          <w:sz w:val="20"/>
          <w:szCs w:val="20"/>
        </w:rPr>
        <w:t xml:space="preserve"> oder wir daran teilgenommen haben“, sagt Thorsten Lamm, </w:t>
      </w:r>
      <w:proofErr w:type="spellStart"/>
      <w:r w:rsidRPr="4EAD76BC">
        <w:rPr>
          <w:rFonts w:ascii="Verdana" w:hAnsi="Verdana"/>
          <w:sz w:val="20"/>
          <w:szCs w:val="20"/>
        </w:rPr>
        <w:t>Product</w:t>
      </w:r>
      <w:proofErr w:type="spellEnd"/>
      <w:r w:rsidRPr="4EAD76BC">
        <w:rPr>
          <w:rFonts w:ascii="Verdana" w:hAnsi="Verdana"/>
          <w:sz w:val="20"/>
          <w:szCs w:val="20"/>
        </w:rPr>
        <w:t xml:space="preserve"> Sales Manager bei der SWAN GmbH. „Wir haben viele Einblicke in andere Unternehmen bekommen. Außerdem war das Brainstorming zur Verbesserung der Usability unserer </w:t>
      </w:r>
      <w:proofErr w:type="spellStart"/>
      <w:r w:rsidRPr="4EAD76BC">
        <w:rPr>
          <w:rFonts w:ascii="Verdana" w:hAnsi="Verdana"/>
          <w:sz w:val="20"/>
          <w:szCs w:val="20"/>
        </w:rPr>
        <w:t>Heatmap</w:t>
      </w:r>
      <w:proofErr w:type="spellEnd"/>
      <w:r w:rsidRPr="4EAD76BC">
        <w:rPr>
          <w:rFonts w:ascii="Verdana" w:hAnsi="Verdana"/>
          <w:sz w:val="20"/>
          <w:szCs w:val="20"/>
        </w:rPr>
        <w:t>-Lösung für uns sehr wertvoll. Dass Kunden unseren Weg so deutlich wahrnehmen, gibt uns ebenfalls Rückenwind. Die anwesenden Firmen ticken ähnlich und arbeiten alle auf ein gemeinsames Ziel hin. Für uns war die Veranstaltung ein voller Erfolg“, fährt Lamm fort.</w:t>
      </w:r>
    </w:p>
    <w:p w14:paraId="40243573" w14:textId="6FBE8816" w:rsidR="00E11FAE" w:rsidRPr="000C0843" w:rsidRDefault="00E11FAE" w:rsidP="00E11FAE">
      <w:pPr>
        <w:spacing w:before="120" w:after="120" w:line="360" w:lineRule="atLeast"/>
        <w:jc w:val="both"/>
        <w:rPr>
          <w:rFonts w:ascii="Verdana" w:hAnsi="Verdana"/>
          <w:sz w:val="20"/>
          <w:szCs w:val="20"/>
        </w:rPr>
      </w:pPr>
      <w:r>
        <w:rPr>
          <w:rFonts w:ascii="Verdana" w:hAnsi="Verdana"/>
          <w:sz w:val="20"/>
          <w:szCs w:val="20"/>
        </w:rPr>
        <w:t xml:space="preserve">Die hohe Teilnehmerzahl an den Online-Seminaren, die zahlreichen Rückfragen während der Deep </w:t>
      </w:r>
      <w:proofErr w:type="spellStart"/>
      <w:r>
        <w:rPr>
          <w:rFonts w:ascii="Verdana" w:hAnsi="Verdana"/>
          <w:sz w:val="20"/>
          <w:szCs w:val="20"/>
        </w:rPr>
        <w:t>Dive</w:t>
      </w:r>
      <w:proofErr w:type="spellEnd"/>
      <w:r>
        <w:rPr>
          <w:rFonts w:ascii="Verdana" w:hAnsi="Verdana"/>
          <w:sz w:val="20"/>
          <w:szCs w:val="20"/>
        </w:rPr>
        <w:t xml:space="preserve"> Sessions und die </w:t>
      </w:r>
      <w:r w:rsidRPr="000C0843">
        <w:rPr>
          <w:rFonts w:ascii="Verdana" w:hAnsi="Verdana"/>
          <w:sz w:val="20"/>
          <w:szCs w:val="20"/>
        </w:rPr>
        <w:t xml:space="preserve">äußerst geringe Abbruchquote sind </w:t>
      </w:r>
      <w:r>
        <w:rPr>
          <w:rFonts w:ascii="Verdana" w:hAnsi="Verdana"/>
          <w:sz w:val="20"/>
          <w:szCs w:val="20"/>
        </w:rPr>
        <w:t xml:space="preserve">ein deutlicher Indikator, dass Themen, die mit Ortung und </w:t>
      </w:r>
      <w:r w:rsidRPr="000C0843">
        <w:rPr>
          <w:rFonts w:ascii="Verdana" w:hAnsi="Verdana"/>
          <w:sz w:val="20"/>
          <w:szCs w:val="20"/>
        </w:rPr>
        <w:t xml:space="preserve">Optimierung zu tun </w:t>
      </w:r>
      <w:r>
        <w:rPr>
          <w:rFonts w:ascii="Verdana" w:hAnsi="Verdana"/>
          <w:sz w:val="20"/>
          <w:szCs w:val="20"/>
        </w:rPr>
        <w:t xml:space="preserve">haben, am Puls der Zeit sind. Die Überlegung, wie mehr </w:t>
      </w:r>
      <w:r w:rsidRPr="000C0843">
        <w:rPr>
          <w:rFonts w:ascii="Verdana" w:hAnsi="Verdana"/>
          <w:sz w:val="20"/>
          <w:szCs w:val="20"/>
        </w:rPr>
        <w:t>Informationen aus de</w:t>
      </w:r>
      <w:r>
        <w:rPr>
          <w:rFonts w:ascii="Verdana" w:hAnsi="Verdana"/>
          <w:sz w:val="20"/>
          <w:szCs w:val="20"/>
        </w:rPr>
        <w:t>n Industriea</w:t>
      </w:r>
      <w:r w:rsidRPr="000C0843">
        <w:rPr>
          <w:rFonts w:ascii="Verdana" w:hAnsi="Verdana"/>
          <w:sz w:val="20"/>
          <w:szCs w:val="20"/>
        </w:rPr>
        <w:t>nlage</w:t>
      </w:r>
      <w:r>
        <w:rPr>
          <w:rFonts w:ascii="Verdana" w:hAnsi="Verdana"/>
          <w:sz w:val="20"/>
          <w:szCs w:val="20"/>
        </w:rPr>
        <w:t>n</w:t>
      </w:r>
      <w:r w:rsidRPr="000C0843">
        <w:rPr>
          <w:rFonts w:ascii="Verdana" w:hAnsi="Verdana"/>
          <w:sz w:val="20"/>
          <w:szCs w:val="20"/>
        </w:rPr>
        <w:t xml:space="preserve"> zu den Entscheidungsträgern </w:t>
      </w:r>
      <w:r>
        <w:rPr>
          <w:rFonts w:ascii="Verdana" w:hAnsi="Verdana"/>
          <w:sz w:val="20"/>
          <w:szCs w:val="20"/>
        </w:rPr>
        <w:t>gelangen können, ist ein zentrales Anliegen der Branche.</w:t>
      </w:r>
    </w:p>
    <w:p w14:paraId="482358DD" w14:textId="77777777" w:rsidR="00E11FAE" w:rsidRPr="00CA19AB" w:rsidRDefault="00E11FAE" w:rsidP="00E11FAE">
      <w:pPr>
        <w:spacing w:before="120" w:after="120" w:line="360" w:lineRule="atLeast"/>
        <w:jc w:val="both"/>
        <w:rPr>
          <w:rFonts w:ascii="Verdana" w:hAnsi="Verdana"/>
          <w:b/>
          <w:bCs/>
          <w:sz w:val="20"/>
          <w:szCs w:val="20"/>
        </w:rPr>
      </w:pPr>
      <w:r w:rsidRPr="00CA19AB">
        <w:rPr>
          <w:rFonts w:ascii="Verdana" w:hAnsi="Verdana"/>
          <w:b/>
          <w:bCs/>
          <w:sz w:val="20"/>
          <w:szCs w:val="20"/>
        </w:rPr>
        <w:t>SWAN</w:t>
      </w:r>
      <w:r>
        <w:rPr>
          <w:rFonts w:ascii="Verdana" w:hAnsi="Verdana"/>
          <w:b/>
          <w:bCs/>
          <w:sz w:val="20"/>
          <w:szCs w:val="20"/>
        </w:rPr>
        <w:t>s Beteiligung</w:t>
      </w:r>
    </w:p>
    <w:p w14:paraId="0F14F932" w14:textId="77777777" w:rsidR="00E11FAE" w:rsidRPr="00CA19AB" w:rsidRDefault="00E11FAE" w:rsidP="00E11FAE">
      <w:pPr>
        <w:spacing w:before="120" w:after="120" w:line="360" w:lineRule="atLeast"/>
        <w:jc w:val="both"/>
        <w:rPr>
          <w:rFonts w:ascii="Verdana" w:hAnsi="Verdana"/>
          <w:sz w:val="20"/>
          <w:szCs w:val="20"/>
        </w:rPr>
      </w:pPr>
      <w:r>
        <w:rPr>
          <w:rFonts w:ascii="Verdana" w:hAnsi="Verdana"/>
          <w:sz w:val="20"/>
          <w:szCs w:val="20"/>
        </w:rPr>
        <w:t xml:space="preserve">SWAN beteiligt sich mit seiner neuen Lösung </w:t>
      </w:r>
      <w:proofErr w:type="spellStart"/>
      <w:r>
        <w:rPr>
          <w:rFonts w:ascii="Verdana" w:hAnsi="Verdana"/>
          <w:sz w:val="20"/>
          <w:szCs w:val="20"/>
        </w:rPr>
        <w:t>Heatmap</w:t>
      </w:r>
      <w:proofErr w:type="spellEnd"/>
      <w:r>
        <w:rPr>
          <w:rFonts w:ascii="Verdana" w:hAnsi="Verdana"/>
          <w:sz w:val="20"/>
          <w:szCs w:val="20"/>
        </w:rPr>
        <w:t xml:space="preserve"> an der „</w:t>
      </w:r>
      <w:proofErr w:type="spellStart"/>
      <w:r>
        <w:rPr>
          <w:rFonts w:ascii="Verdana" w:hAnsi="Verdana"/>
          <w:sz w:val="20"/>
          <w:szCs w:val="20"/>
        </w:rPr>
        <w:t>omlox</w:t>
      </w:r>
      <w:proofErr w:type="spellEnd"/>
      <w:r>
        <w:rPr>
          <w:rFonts w:ascii="Verdana" w:hAnsi="Verdana"/>
          <w:sz w:val="20"/>
          <w:szCs w:val="20"/>
        </w:rPr>
        <w:t xml:space="preserve">“-Initiative. </w:t>
      </w:r>
      <w:r w:rsidRPr="00CA19AB">
        <w:rPr>
          <w:rFonts w:ascii="Verdana" w:hAnsi="Verdana"/>
          <w:sz w:val="20"/>
          <w:szCs w:val="20"/>
        </w:rPr>
        <w:t xml:space="preserve">Basierend auf UWB </w:t>
      </w:r>
      <w:r>
        <w:rPr>
          <w:rFonts w:ascii="Verdana" w:hAnsi="Verdana"/>
          <w:sz w:val="20"/>
          <w:szCs w:val="20"/>
        </w:rPr>
        <w:t>stellt die Software</w:t>
      </w:r>
      <w:r w:rsidRPr="00CA19AB">
        <w:rPr>
          <w:rFonts w:ascii="Verdana" w:hAnsi="Verdana"/>
          <w:sz w:val="20"/>
          <w:szCs w:val="20"/>
        </w:rPr>
        <w:t xml:space="preserve"> Analysen </w:t>
      </w:r>
      <w:r>
        <w:rPr>
          <w:rFonts w:ascii="Verdana" w:hAnsi="Verdana"/>
          <w:sz w:val="20"/>
          <w:szCs w:val="20"/>
        </w:rPr>
        <w:t>zur</w:t>
      </w:r>
      <w:r w:rsidRPr="00CA19AB">
        <w:rPr>
          <w:rFonts w:ascii="Verdana" w:hAnsi="Verdana"/>
          <w:sz w:val="20"/>
          <w:szCs w:val="20"/>
        </w:rPr>
        <w:t xml:space="preserve"> idealen Nutzung vorhandener Flächen und Wege durch Indoor-Tracking von Personen, Maschinen oder Gütern mit einzigartige</w:t>
      </w:r>
      <w:r>
        <w:rPr>
          <w:rFonts w:ascii="Verdana" w:hAnsi="Verdana"/>
          <w:sz w:val="20"/>
          <w:szCs w:val="20"/>
        </w:rPr>
        <w:t>r</w:t>
      </w:r>
      <w:r w:rsidRPr="00CA19AB">
        <w:rPr>
          <w:rFonts w:ascii="Verdana" w:hAnsi="Verdana"/>
          <w:sz w:val="20"/>
          <w:szCs w:val="20"/>
        </w:rPr>
        <w:t xml:space="preserve"> Präzision und in der von der Industrie geforderten Robustheit detailliert dar. </w:t>
      </w:r>
      <w:r>
        <w:rPr>
          <w:rFonts w:ascii="Verdana" w:hAnsi="Verdana"/>
          <w:sz w:val="20"/>
          <w:szCs w:val="20"/>
        </w:rPr>
        <w:t>„</w:t>
      </w:r>
      <w:proofErr w:type="spellStart"/>
      <w:r w:rsidRPr="00CA19AB">
        <w:rPr>
          <w:rFonts w:ascii="Verdana" w:hAnsi="Verdana"/>
          <w:sz w:val="20"/>
          <w:szCs w:val="20"/>
        </w:rPr>
        <w:t>omlox</w:t>
      </w:r>
      <w:proofErr w:type="spellEnd"/>
      <w:r>
        <w:rPr>
          <w:rFonts w:ascii="Verdana" w:hAnsi="Verdana"/>
          <w:sz w:val="20"/>
          <w:szCs w:val="20"/>
        </w:rPr>
        <w:t>“</w:t>
      </w:r>
      <w:r w:rsidRPr="00CA19AB">
        <w:rPr>
          <w:rFonts w:ascii="Verdana" w:hAnsi="Verdana"/>
          <w:sz w:val="20"/>
          <w:szCs w:val="20"/>
        </w:rPr>
        <w:t xml:space="preserve"> ermöglicht den Einsatz unterschiedlichster Technologien mit einer einfachen Integration in </w:t>
      </w:r>
      <w:r>
        <w:rPr>
          <w:rFonts w:ascii="Verdana" w:hAnsi="Verdana"/>
          <w:sz w:val="20"/>
          <w:szCs w:val="20"/>
        </w:rPr>
        <w:t>das</w:t>
      </w:r>
      <w:r w:rsidRPr="00CA19AB">
        <w:rPr>
          <w:rFonts w:ascii="Verdana" w:hAnsi="Verdana"/>
          <w:sz w:val="20"/>
          <w:szCs w:val="20"/>
        </w:rPr>
        <w:t xml:space="preserve"> Datenanalyse-Tool.</w:t>
      </w:r>
    </w:p>
    <w:p w14:paraId="32A89DA6" w14:textId="6AA9D4F1" w:rsidR="00E11FAE" w:rsidRPr="00CA19AB" w:rsidRDefault="00E11FAE" w:rsidP="00E11FAE">
      <w:pPr>
        <w:spacing w:before="120" w:after="120" w:line="360" w:lineRule="atLeast"/>
        <w:jc w:val="both"/>
        <w:rPr>
          <w:rFonts w:ascii="Verdana" w:hAnsi="Verdana"/>
          <w:sz w:val="20"/>
          <w:szCs w:val="20"/>
        </w:rPr>
      </w:pPr>
      <w:r w:rsidRPr="00CA19AB">
        <w:rPr>
          <w:rFonts w:ascii="Verdana" w:hAnsi="Verdana"/>
          <w:sz w:val="20"/>
          <w:szCs w:val="20"/>
        </w:rPr>
        <w:t>Die SWAN-</w:t>
      </w:r>
      <w:proofErr w:type="spellStart"/>
      <w:r w:rsidRPr="00CA19AB">
        <w:rPr>
          <w:rFonts w:ascii="Verdana" w:hAnsi="Verdana"/>
          <w:sz w:val="20"/>
          <w:szCs w:val="20"/>
        </w:rPr>
        <w:t>Heatmap</w:t>
      </w:r>
      <w:proofErr w:type="spellEnd"/>
      <w:r w:rsidRPr="00CA19AB">
        <w:rPr>
          <w:rFonts w:ascii="Verdana" w:hAnsi="Verdana"/>
          <w:sz w:val="20"/>
          <w:szCs w:val="20"/>
        </w:rPr>
        <w:t xml:space="preserve"> ist über eine Webschnittstelle zugänglich und kann leicht in andere Softwareprodukte integriert werden. </w:t>
      </w:r>
      <w:r>
        <w:rPr>
          <w:rFonts w:ascii="Verdana" w:hAnsi="Verdana"/>
          <w:sz w:val="20"/>
          <w:szCs w:val="20"/>
        </w:rPr>
        <w:t>Sie behält die Industriea</w:t>
      </w:r>
      <w:r w:rsidRPr="00CA19AB">
        <w:rPr>
          <w:rFonts w:ascii="Verdana" w:hAnsi="Verdana"/>
          <w:sz w:val="20"/>
          <w:szCs w:val="20"/>
        </w:rPr>
        <w:t xml:space="preserve">nlage von überall aus </w:t>
      </w:r>
      <w:r>
        <w:rPr>
          <w:rFonts w:ascii="Verdana" w:hAnsi="Verdana"/>
          <w:sz w:val="20"/>
          <w:szCs w:val="20"/>
        </w:rPr>
        <w:t xml:space="preserve">und zu jeder Zeit </w:t>
      </w:r>
      <w:r w:rsidRPr="00CA19AB">
        <w:rPr>
          <w:rFonts w:ascii="Verdana" w:hAnsi="Verdana"/>
          <w:sz w:val="20"/>
          <w:szCs w:val="20"/>
        </w:rPr>
        <w:t xml:space="preserve">im Blick: Ob im Lagerleitstand, vom Büro aus oder direkt in der Anlage auf dem </w:t>
      </w:r>
      <w:r w:rsidRPr="00CA19AB">
        <w:rPr>
          <w:rFonts w:ascii="Verdana" w:hAnsi="Verdana"/>
          <w:sz w:val="20"/>
          <w:szCs w:val="20"/>
        </w:rPr>
        <w:lastRenderedPageBreak/>
        <w:t>Tablet</w:t>
      </w:r>
      <w:r>
        <w:rPr>
          <w:rFonts w:ascii="Verdana" w:hAnsi="Verdana"/>
          <w:sz w:val="20"/>
          <w:szCs w:val="20"/>
        </w:rPr>
        <w:t>.</w:t>
      </w:r>
      <w:r w:rsidRPr="00CA19AB">
        <w:rPr>
          <w:rFonts w:ascii="Verdana" w:hAnsi="Verdana"/>
          <w:sz w:val="20"/>
          <w:szCs w:val="20"/>
        </w:rPr>
        <w:t xml:space="preserve"> Realtime View </w:t>
      </w:r>
      <w:r>
        <w:rPr>
          <w:rFonts w:ascii="Verdana" w:hAnsi="Verdana"/>
          <w:sz w:val="20"/>
          <w:szCs w:val="20"/>
        </w:rPr>
        <w:t xml:space="preserve">ermöglicht die Ansicht des </w:t>
      </w:r>
      <w:r w:rsidRPr="00CA19AB">
        <w:rPr>
          <w:rFonts w:ascii="Verdana" w:hAnsi="Verdana"/>
          <w:sz w:val="20"/>
          <w:szCs w:val="20"/>
        </w:rPr>
        <w:t xml:space="preserve">aktuellen Status </w:t>
      </w:r>
      <w:r>
        <w:rPr>
          <w:rFonts w:ascii="Verdana" w:hAnsi="Verdana"/>
          <w:sz w:val="20"/>
          <w:szCs w:val="20"/>
        </w:rPr>
        <w:t>der</w:t>
      </w:r>
      <w:r w:rsidRPr="00CA19AB">
        <w:rPr>
          <w:rFonts w:ascii="Verdana" w:hAnsi="Verdana"/>
          <w:sz w:val="20"/>
          <w:szCs w:val="20"/>
        </w:rPr>
        <w:t xml:space="preserve"> Anlage. </w:t>
      </w:r>
      <w:r>
        <w:rPr>
          <w:rFonts w:ascii="Verdana" w:hAnsi="Verdana"/>
          <w:sz w:val="20"/>
          <w:szCs w:val="20"/>
        </w:rPr>
        <w:t>Die Funktion</w:t>
      </w:r>
      <w:r w:rsidRPr="00CA19AB">
        <w:rPr>
          <w:rFonts w:ascii="Verdana" w:hAnsi="Verdana"/>
          <w:sz w:val="20"/>
          <w:szCs w:val="20"/>
        </w:rPr>
        <w:t xml:space="preserve"> verfolg</w:t>
      </w:r>
      <w:r>
        <w:rPr>
          <w:rFonts w:ascii="Verdana" w:hAnsi="Verdana"/>
          <w:sz w:val="20"/>
          <w:szCs w:val="20"/>
        </w:rPr>
        <w:t>t</w:t>
      </w:r>
      <w:r w:rsidRPr="00CA19AB">
        <w:rPr>
          <w:rFonts w:ascii="Verdana" w:hAnsi="Verdana"/>
          <w:sz w:val="20"/>
          <w:szCs w:val="20"/>
        </w:rPr>
        <w:t xml:space="preserve"> Anlagen, Mitarbeiter und Gabelstapler in Echtzeit. </w:t>
      </w:r>
      <w:r>
        <w:rPr>
          <w:rFonts w:ascii="Verdana" w:hAnsi="Verdana"/>
          <w:sz w:val="20"/>
          <w:szCs w:val="20"/>
        </w:rPr>
        <w:t>In der</w:t>
      </w:r>
      <w:r w:rsidRPr="00CA19AB">
        <w:rPr>
          <w:rFonts w:ascii="Verdana" w:hAnsi="Verdana"/>
          <w:sz w:val="20"/>
          <w:szCs w:val="20"/>
        </w:rPr>
        <w:t xml:space="preserve"> Vogelperspektive </w:t>
      </w:r>
      <w:r>
        <w:rPr>
          <w:rFonts w:ascii="Verdana" w:hAnsi="Verdana"/>
          <w:sz w:val="20"/>
          <w:szCs w:val="20"/>
        </w:rPr>
        <w:t>gibt</w:t>
      </w:r>
      <w:r w:rsidRPr="00CA19AB">
        <w:rPr>
          <w:rFonts w:ascii="Verdana" w:hAnsi="Verdana"/>
          <w:sz w:val="20"/>
          <w:szCs w:val="20"/>
        </w:rPr>
        <w:t xml:space="preserve"> </w:t>
      </w:r>
      <w:r>
        <w:rPr>
          <w:rFonts w:ascii="Verdana" w:hAnsi="Verdana"/>
          <w:sz w:val="20"/>
          <w:szCs w:val="20"/>
        </w:rPr>
        <w:t xml:space="preserve">sie Nutzern </w:t>
      </w:r>
      <w:r w:rsidRPr="00CA19AB">
        <w:rPr>
          <w:rFonts w:ascii="Verdana" w:hAnsi="Verdana"/>
          <w:sz w:val="20"/>
          <w:szCs w:val="20"/>
        </w:rPr>
        <w:t xml:space="preserve">die Möglichkeit, die gesamte Anlage </w:t>
      </w:r>
      <w:r>
        <w:rPr>
          <w:rFonts w:ascii="Verdana" w:hAnsi="Verdana"/>
          <w:sz w:val="20"/>
          <w:szCs w:val="20"/>
        </w:rPr>
        <w:t>zu beobachten</w:t>
      </w:r>
      <w:r w:rsidRPr="00CA19AB">
        <w:rPr>
          <w:rFonts w:ascii="Verdana" w:hAnsi="Verdana"/>
          <w:sz w:val="20"/>
          <w:szCs w:val="20"/>
        </w:rPr>
        <w:t xml:space="preserve">. Frei zoombar und skalierbar können </w:t>
      </w:r>
      <w:r>
        <w:rPr>
          <w:rFonts w:ascii="Verdana" w:hAnsi="Verdana"/>
          <w:sz w:val="20"/>
          <w:szCs w:val="20"/>
        </w:rPr>
        <w:t>die Mitarbeiter Teile der</w:t>
      </w:r>
      <w:r w:rsidRPr="00CA19AB">
        <w:rPr>
          <w:rFonts w:ascii="Verdana" w:hAnsi="Verdana"/>
          <w:sz w:val="20"/>
          <w:szCs w:val="20"/>
        </w:rPr>
        <w:t xml:space="preserve"> Anlage betrachten, auf Probleme reagieren und Über- oder </w:t>
      </w:r>
      <w:proofErr w:type="spellStart"/>
      <w:r w:rsidRPr="00CA19AB">
        <w:rPr>
          <w:rFonts w:ascii="Verdana" w:hAnsi="Verdana"/>
          <w:sz w:val="20"/>
          <w:szCs w:val="20"/>
        </w:rPr>
        <w:t>Unterlastungen</w:t>
      </w:r>
      <w:proofErr w:type="spellEnd"/>
      <w:r w:rsidRPr="00CA19AB">
        <w:rPr>
          <w:rFonts w:ascii="Verdana" w:hAnsi="Verdana"/>
          <w:sz w:val="20"/>
          <w:szCs w:val="20"/>
        </w:rPr>
        <w:t xml:space="preserve"> der Anlage direkt sehen.</w:t>
      </w:r>
      <w:r>
        <w:rPr>
          <w:rFonts w:ascii="Verdana" w:hAnsi="Verdana"/>
          <w:sz w:val="20"/>
          <w:szCs w:val="20"/>
        </w:rPr>
        <w:t xml:space="preserve"> </w:t>
      </w:r>
      <w:r w:rsidRPr="00CA19AB">
        <w:rPr>
          <w:rFonts w:ascii="Verdana" w:hAnsi="Verdana"/>
          <w:sz w:val="20"/>
          <w:szCs w:val="20"/>
        </w:rPr>
        <w:t xml:space="preserve">In der Historienansicht </w:t>
      </w:r>
      <w:r>
        <w:rPr>
          <w:rFonts w:ascii="Verdana" w:hAnsi="Verdana"/>
          <w:sz w:val="20"/>
          <w:szCs w:val="20"/>
        </w:rPr>
        <w:t>lässt sich der St</w:t>
      </w:r>
      <w:r w:rsidRPr="00CA19AB">
        <w:rPr>
          <w:rFonts w:ascii="Verdana" w:hAnsi="Verdana"/>
          <w:sz w:val="20"/>
          <w:szCs w:val="20"/>
        </w:rPr>
        <w:t xml:space="preserve">atus </w:t>
      </w:r>
      <w:r>
        <w:rPr>
          <w:rFonts w:ascii="Verdana" w:hAnsi="Verdana"/>
          <w:sz w:val="20"/>
          <w:szCs w:val="20"/>
        </w:rPr>
        <w:t>de</w:t>
      </w:r>
      <w:r w:rsidRPr="00CA19AB">
        <w:rPr>
          <w:rFonts w:ascii="Verdana" w:hAnsi="Verdana"/>
          <w:sz w:val="20"/>
          <w:szCs w:val="20"/>
        </w:rPr>
        <w:t>r Anlage in einem frei definierbaren Zeitbereich</w:t>
      </w:r>
      <w:r>
        <w:rPr>
          <w:rFonts w:ascii="Verdana" w:hAnsi="Verdana"/>
          <w:sz w:val="20"/>
          <w:szCs w:val="20"/>
        </w:rPr>
        <w:t xml:space="preserve"> zurückverfolgen</w:t>
      </w:r>
      <w:r w:rsidRPr="00CA19AB">
        <w:rPr>
          <w:rFonts w:ascii="Verdana" w:hAnsi="Verdana"/>
          <w:sz w:val="20"/>
          <w:szCs w:val="20"/>
        </w:rPr>
        <w:t xml:space="preserve">. </w:t>
      </w:r>
    </w:p>
    <w:p w14:paraId="09B4C2C6" w14:textId="77777777" w:rsidR="00E11FAE" w:rsidRPr="0034049C" w:rsidRDefault="00E11FAE" w:rsidP="00E11FAE">
      <w:pPr>
        <w:spacing w:before="120" w:after="120" w:line="360" w:lineRule="atLeast"/>
        <w:jc w:val="both"/>
        <w:rPr>
          <w:rFonts w:ascii="Verdana" w:hAnsi="Verdana"/>
          <w:b/>
          <w:bCs/>
          <w:sz w:val="20"/>
          <w:szCs w:val="20"/>
        </w:rPr>
      </w:pPr>
      <w:r w:rsidRPr="0034049C">
        <w:rPr>
          <w:rFonts w:ascii="Verdana" w:hAnsi="Verdana"/>
          <w:b/>
          <w:bCs/>
          <w:sz w:val="20"/>
          <w:szCs w:val="20"/>
        </w:rPr>
        <w:t>Zu „</w:t>
      </w:r>
      <w:proofErr w:type="spellStart"/>
      <w:r w:rsidRPr="0034049C">
        <w:rPr>
          <w:rFonts w:ascii="Verdana" w:hAnsi="Verdana"/>
          <w:b/>
          <w:bCs/>
          <w:sz w:val="20"/>
          <w:szCs w:val="20"/>
        </w:rPr>
        <w:t>omlox</w:t>
      </w:r>
      <w:proofErr w:type="spellEnd"/>
      <w:r w:rsidRPr="0034049C">
        <w:rPr>
          <w:rFonts w:ascii="Verdana" w:hAnsi="Verdana"/>
          <w:b/>
          <w:bCs/>
          <w:sz w:val="20"/>
          <w:szCs w:val="20"/>
        </w:rPr>
        <w:t>“</w:t>
      </w:r>
    </w:p>
    <w:p w14:paraId="76A0D4C2" w14:textId="77777777" w:rsidR="00E11FAE" w:rsidRDefault="00E11FAE" w:rsidP="00E11FAE">
      <w:pPr>
        <w:spacing w:before="120" w:after="120" w:line="360" w:lineRule="atLeast"/>
        <w:jc w:val="both"/>
        <w:rPr>
          <w:rFonts w:ascii="Verdana" w:hAnsi="Verdana"/>
          <w:sz w:val="20"/>
          <w:szCs w:val="20"/>
        </w:rPr>
      </w:pPr>
      <w:r>
        <w:rPr>
          <w:rFonts w:ascii="Verdana" w:hAnsi="Verdana"/>
          <w:sz w:val="20"/>
          <w:szCs w:val="20"/>
        </w:rPr>
        <w:t>Die Initiatoren von</w:t>
      </w:r>
      <w:r w:rsidRPr="00CA19AB">
        <w:rPr>
          <w:rFonts w:ascii="Verdana" w:hAnsi="Verdana"/>
          <w:sz w:val="20"/>
          <w:szCs w:val="20"/>
        </w:rPr>
        <w:t xml:space="preserve"> „</w:t>
      </w:r>
      <w:proofErr w:type="spellStart"/>
      <w:r w:rsidRPr="00CA19AB">
        <w:rPr>
          <w:rFonts w:ascii="Verdana" w:hAnsi="Verdana"/>
          <w:sz w:val="20"/>
          <w:szCs w:val="20"/>
        </w:rPr>
        <w:t>omlox</w:t>
      </w:r>
      <w:proofErr w:type="spellEnd"/>
      <w:r w:rsidRPr="00CA19AB">
        <w:rPr>
          <w:rFonts w:ascii="Verdana" w:hAnsi="Verdana"/>
          <w:sz w:val="20"/>
          <w:szCs w:val="20"/>
        </w:rPr>
        <w:t xml:space="preserve">“ möchten Industriekunden den Einsatz von Hardware und Software verschiedener Hersteller </w:t>
      </w:r>
      <w:r>
        <w:rPr>
          <w:rFonts w:ascii="Verdana" w:hAnsi="Verdana"/>
          <w:sz w:val="20"/>
          <w:szCs w:val="20"/>
        </w:rPr>
        <w:t xml:space="preserve">so einfach wie möglich machen. Der weltweit einsatzfähige Standard vereinfacht die Logistik enorm und sorgt für Effizienzgewinne in der digitalen Fertigung. </w:t>
      </w:r>
      <w:r w:rsidRPr="00CA19AB">
        <w:rPr>
          <w:rFonts w:ascii="Verdana" w:hAnsi="Verdana"/>
          <w:sz w:val="20"/>
          <w:szCs w:val="20"/>
        </w:rPr>
        <w:t>Für die globale Weiterentwicklung des „</w:t>
      </w:r>
      <w:proofErr w:type="spellStart"/>
      <w:r w:rsidRPr="00CA19AB">
        <w:rPr>
          <w:rFonts w:ascii="Verdana" w:hAnsi="Verdana"/>
          <w:sz w:val="20"/>
          <w:szCs w:val="20"/>
        </w:rPr>
        <w:t>omlox</w:t>
      </w:r>
      <w:proofErr w:type="spellEnd"/>
      <w:r w:rsidRPr="00CA19AB">
        <w:rPr>
          <w:rFonts w:ascii="Verdana" w:hAnsi="Verdana"/>
          <w:sz w:val="20"/>
          <w:szCs w:val="20"/>
        </w:rPr>
        <w:t xml:space="preserve">“-Standards </w:t>
      </w:r>
      <w:r>
        <w:rPr>
          <w:rFonts w:ascii="Verdana" w:hAnsi="Verdana"/>
          <w:sz w:val="20"/>
          <w:szCs w:val="20"/>
        </w:rPr>
        <w:t>übergeben</w:t>
      </w:r>
      <w:r w:rsidRPr="00CA19AB">
        <w:rPr>
          <w:rFonts w:ascii="Verdana" w:hAnsi="Verdana"/>
          <w:sz w:val="20"/>
          <w:szCs w:val="20"/>
        </w:rPr>
        <w:t xml:space="preserve"> die Initiatoren das Vorhaben an die PROFIBUS Nutzerorganisation, die seit 30 Jahren verschiedene Industriestandards betreut.</w:t>
      </w:r>
    </w:p>
    <w:p w14:paraId="130F0479" w14:textId="77777777" w:rsidR="00E11FAE" w:rsidRDefault="00E11FAE" w:rsidP="00E11FAE">
      <w:pPr>
        <w:spacing w:before="120" w:after="120" w:line="360" w:lineRule="atLeast"/>
        <w:jc w:val="both"/>
        <w:rPr>
          <w:rFonts w:ascii="Verdana" w:hAnsi="Verdana"/>
          <w:sz w:val="20"/>
          <w:szCs w:val="20"/>
        </w:rPr>
      </w:pPr>
    </w:p>
    <w:p w14:paraId="422B624F" w14:textId="77777777" w:rsidR="00E11FAE" w:rsidRPr="00695938" w:rsidRDefault="00E11FAE" w:rsidP="00E11FAE">
      <w:pPr>
        <w:ind w:right="395"/>
        <w:rPr>
          <w:rFonts w:ascii="Verdana" w:hAnsi="Verdana"/>
          <w:b/>
          <w:bCs/>
          <w:sz w:val="16"/>
          <w:szCs w:val="16"/>
        </w:rPr>
      </w:pPr>
      <w:r w:rsidRPr="00695938">
        <w:rPr>
          <w:rFonts w:ascii="Verdana" w:hAnsi="Verdana"/>
          <w:b/>
          <w:bCs/>
          <w:sz w:val="16"/>
          <w:szCs w:val="16"/>
        </w:rPr>
        <w:t>Über SWAN GmbH</w:t>
      </w:r>
    </w:p>
    <w:p w14:paraId="15674E10" w14:textId="77777777" w:rsidR="00E11FAE" w:rsidRPr="002D0AB8" w:rsidRDefault="00E11FAE" w:rsidP="00E11FAE">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Die SWAN GmbH mit Sitz in Augsburg und Niederlassungen in Nürnberg, Wächtersbach und Altenstadt an der </w:t>
      </w:r>
      <w:proofErr w:type="spellStart"/>
      <w:r w:rsidRPr="002D0AB8">
        <w:rPr>
          <w:rFonts w:ascii="Verdana" w:eastAsia="Cambria" w:hAnsi="Verdana" w:cs="Tahoma"/>
          <w:sz w:val="16"/>
          <w:szCs w:val="16"/>
          <w:lang w:eastAsia="en-US"/>
        </w:rPr>
        <w:t>Waldnaab</w:t>
      </w:r>
      <w:proofErr w:type="spellEnd"/>
      <w:r w:rsidRPr="002D0AB8">
        <w:rPr>
          <w:rFonts w:ascii="Verdana" w:eastAsia="Cambria" w:hAnsi="Verdana" w:cs="Tahoma"/>
          <w:sz w:val="16"/>
          <w:szCs w:val="16"/>
          <w:lang w:eastAsia="en-US"/>
        </w:rPr>
        <w:t xml:space="preserve"> implementiert manuelle und automatisierte Logistiklösungen auf Basis der SAP Module SAP EWM, MFS und TM. Der Fokus liegt hierbei auf </w:t>
      </w:r>
      <w:hyperlink r:id="rId11" w:history="1">
        <w:r w:rsidRPr="002D0AB8">
          <w:rPr>
            <w:rStyle w:val="Hyperlink"/>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2" w:history="1">
        <w:r w:rsidRPr="002D0AB8">
          <w:rPr>
            <w:rStyle w:val="Hyperlink"/>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w:t>
      </w:r>
      <w:hyperlink r:id="rId13" w:history="1">
        <w:r w:rsidRPr="00422168">
          <w:rPr>
            <w:rStyle w:val="Hyperlink"/>
            <w:rFonts w:ascii="Verdana" w:eastAsia="Cambria" w:hAnsi="Verdana" w:cs="Tahoma"/>
            <w:sz w:val="16"/>
            <w:szCs w:val="16"/>
            <w:lang w:eastAsia="en-US"/>
          </w:rPr>
          <w:t>Service und Support</w:t>
        </w:r>
      </w:hyperlink>
      <w:r w:rsidRPr="002D0AB8">
        <w:rPr>
          <w:rFonts w:ascii="Verdana" w:eastAsia="Cambria" w:hAnsi="Verdana" w:cs="Tahoma"/>
          <w:sz w:val="16"/>
          <w:szCs w:val="16"/>
          <w:lang w:eastAsia="en-US"/>
        </w:rPr>
        <w:t>. Zusätzlich bietet SWAN eine Vielzahl von Add-</w:t>
      </w:r>
      <w:proofErr w:type="spellStart"/>
      <w:r w:rsidRPr="002D0AB8">
        <w:rPr>
          <w:rFonts w:ascii="Verdana" w:eastAsia="Cambria" w:hAnsi="Verdana" w:cs="Tahoma"/>
          <w:sz w:val="16"/>
          <w:szCs w:val="16"/>
          <w:lang w:eastAsia="en-US"/>
        </w:rPr>
        <w:t>Ons</w:t>
      </w:r>
      <w:proofErr w:type="spellEnd"/>
      <w:r w:rsidRPr="002D0AB8">
        <w:rPr>
          <w:rFonts w:ascii="Verdana" w:eastAsia="Cambria" w:hAnsi="Verdana" w:cs="Tahoma"/>
          <w:sz w:val="16"/>
          <w:szCs w:val="16"/>
          <w:lang w:eastAsia="en-US"/>
        </w:rPr>
        <w:t xml:space="preserve"> in den Bereichen Materialfluss, Direktkopplung, Real Time 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w:t>
      </w:r>
      <w:proofErr w:type="spellStart"/>
      <w:r w:rsidRPr="002D0AB8">
        <w:rPr>
          <w:rFonts w:ascii="Verdana" w:eastAsia="Cambria" w:hAnsi="Verdana" w:cs="Tahoma"/>
          <w:sz w:val="16"/>
          <w:szCs w:val="16"/>
          <w:lang w:eastAsia="en-US"/>
        </w:rPr>
        <w:t>Pharma</w:t>
      </w:r>
      <w:proofErr w:type="spellEnd"/>
      <w:r w:rsidRPr="002D0AB8">
        <w:rPr>
          <w:rFonts w:ascii="Verdana" w:eastAsia="Cambria" w:hAnsi="Verdana" w:cs="Tahoma"/>
          <w:sz w:val="16"/>
          <w:szCs w:val="16"/>
          <w:lang w:eastAsia="en-US"/>
        </w:rPr>
        <w:t xml:space="preserve">, Handel, Hochtechnologie und Elektro/Elektronik zeugen von SWANs Kompetenz, sowohl im Umfeld von Distributionslagern als auch bei </w:t>
      </w:r>
      <w:proofErr w:type="spellStart"/>
      <w:r w:rsidRPr="002D0AB8">
        <w:rPr>
          <w:rFonts w:ascii="Verdana" w:eastAsia="Cambria" w:hAnsi="Verdana" w:cs="Tahoma"/>
          <w:sz w:val="16"/>
          <w:szCs w:val="16"/>
          <w:lang w:eastAsia="en-US"/>
        </w:rPr>
        <w:t>Produktionsver</w:t>
      </w:r>
      <w:proofErr w:type="spellEnd"/>
      <w:r w:rsidRPr="002D0AB8">
        <w:rPr>
          <w:rFonts w:ascii="Verdana" w:eastAsia="Cambria" w:hAnsi="Verdana" w:cs="Tahoma"/>
          <w:sz w:val="16"/>
          <w:szCs w:val="16"/>
          <w:lang w:eastAsia="en-US"/>
        </w:rPr>
        <w:t>- und -entsorgung. Die Mitarbeiter der SWAN GmbH können auf jahrelange Erfahrungen in ihren jeweiligen Bereichen zurückgreifen und stellen für Kunden somit kompetente Ansprechpartner für maßgeschneiderte Lösungen dar.</w:t>
      </w:r>
    </w:p>
    <w:p w14:paraId="372A7BBA" w14:textId="77777777" w:rsidR="00E11FAE" w:rsidRDefault="00E11FAE" w:rsidP="00E11FAE">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Weitere Informationen: </w:t>
      </w:r>
      <w:hyperlink r:id="rId14" w:history="1">
        <w:r w:rsidRPr="00422168">
          <w:rPr>
            <w:rStyle w:val="Hyperlink"/>
            <w:rFonts w:ascii="Verdana" w:eastAsia="Cambria" w:hAnsi="Verdana" w:cs="Tahoma"/>
            <w:sz w:val="16"/>
            <w:szCs w:val="16"/>
            <w:lang w:eastAsia="en-US"/>
          </w:rPr>
          <w:t>https://swan.de</w:t>
        </w:r>
      </w:hyperlink>
      <w:r w:rsidRPr="002D0AB8">
        <w:rPr>
          <w:rFonts w:ascii="Verdana" w:eastAsia="Cambria" w:hAnsi="Verdana" w:cs="Tahoma"/>
          <w:sz w:val="16"/>
          <w:szCs w:val="16"/>
          <w:lang w:eastAsia="en-US"/>
        </w:rPr>
        <w:t xml:space="preserve">, </w:t>
      </w:r>
      <w:hyperlink r:id="rId15" w:history="1">
        <w:r w:rsidRPr="00ED1369">
          <w:rPr>
            <w:rStyle w:val="Hyperlink"/>
            <w:rFonts w:ascii="Verdana" w:eastAsia="Cambria" w:hAnsi="Verdana" w:cs="Tahoma"/>
            <w:sz w:val="16"/>
            <w:szCs w:val="16"/>
            <w:lang w:eastAsia="en-US"/>
          </w:rPr>
          <w:t>www.swan.de/products/</w:t>
        </w:r>
      </w:hyperlink>
    </w:p>
    <w:p w14:paraId="73D96615" w14:textId="77777777" w:rsidR="00E11FAE" w:rsidRDefault="00E11FAE" w:rsidP="00E11FAE">
      <w:pPr>
        <w:ind w:right="395"/>
        <w:rPr>
          <w:rFonts w:ascii="Verdana" w:eastAsia="Cambria" w:hAnsi="Verdana" w:cs="Tahoma"/>
          <w:sz w:val="16"/>
          <w:szCs w:val="16"/>
          <w:lang w:eastAsia="en-US"/>
        </w:rPr>
      </w:pPr>
    </w:p>
    <w:p w14:paraId="762E39D3" w14:textId="77777777" w:rsidR="00E11FAE" w:rsidRPr="00695938" w:rsidRDefault="00E11FAE" w:rsidP="00E11FAE">
      <w:pPr>
        <w:rPr>
          <w:rFonts w:ascii="Verdana" w:hAnsi="Verdana"/>
          <w:b/>
          <w:bCs/>
          <w:sz w:val="16"/>
          <w:szCs w:val="16"/>
        </w:rPr>
      </w:pPr>
      <w:r w:rsidRPr="00C0557F">
        <w:rPr>
          <w:rFonts w:ascii="Verdana" w:hAnsi="Verdana"/>
          <w:b/>
          <w:bCs/>
          <w:sz w:val="16"/>
          <w:szCs w:val="16"/>
        </w:rPr>
        <w:t>Unternehmenskontakt</w:t>
      </w:r>
    </w:p>
    <w:p w14:paraId="666D39C7" w14:textId="77777777" w:rsidR="00E11FAE" w:rsidRPr="002D0AB8" w:rsidRDefault="00E11FAE" w:rsidP="00E11FAE">
      <w:pPr>
        <w:rPr>
          <w:rFonts w:ascii="Verdana" w:hAnsi="Verdana"/>
          <w:sz w:val="16"/>
          <w:szCs w:val="16"/>
        </w:rPr>
      </w:pPr>
      <w:r w:rsidRPr="002D0AB8">
        <w:rPr>
          <w:rFonts w:ascii="Verdana" w:hAnsi="Verdana"/>
          <w:sz w:val="16"/>
          <w:szCs w:val="16"/>
        </w:rPr>
        <w:t>SWAN GmbH, Alexander Bernhard, Geschäftsführer, Annastraße 3, 86150 Augsburg, Tel: +49 821 789 87771, E-Mail: mail@swan.de</w:t>
      </w:r>
    </w:p>
    <w:p w14:paraId="074E7751" w14:textId="77777777" w:rsidR="00E11FAE" w:rsidRPr="008F5578" w:rsidRDefault="00E11FAE" w:rsidP="00E11FAE">
      <w:pPr>
        <w:rPr>
          <w:rFonts w:ascii="Verdana" w:hAnsi="Verdana"/>
          <w:b/>
          <w:bCs/>
          <w:sz w:val="16"/>
          <w:szCs w:val="16"/>
        </w:rPr>
      </w:pPr>
    </w:p>
    <w:p w14:paraId="684400BE" w14:textId="77777777" w:rsidR="00E11FAE" w:rsidRPr="00695938" w:rsidRDefault="00E11FAE" w:rsidP="00E11FAE">
      <w:pPr>
        <w:rPr>
          <w:rFonts w:ascii="Verdana" w:hAnsi="Verdana"/>
          <w:b/>
          <w:bCs/>
          <w:sz w:val="16"/>
          <w:szCs w:val="16"/>
        </w:rPr>
      </w:pPr>
      <w:r w:rsidRPr="00695938">
        <w:rPr>
          <w:rFonts w:ascii="Verdana" w:hAnsi="Verdana"/>
          <w:b/>
          <w:bCs/>
          <w:sz w:val="16"/>
          <w:szCs w:val="16"/>
        </w:rPr>
        <w:t xml:space="preserve">Pressekontakt </w:t>
      </w:r>
    </w:p>
    <w:p w14:paraId="13DD5A35" w14:textId="77777777" w:rsidR="00E11FAE" w:rsidRPr="00174F77" w:rsidRDefault="00E11FAE" w:rsidP="00E11FAE">
      <w:r w:rsidRPr="002D0AB8">
        <w:rPr>
          <w:rFonts w:ascii="Verdana" w:hAnsi="Verdana"/>
          <w:sz w:val="16"/>
          <w:szCs w:val="16"/>
        </w:rPr>
        <w:t xml:space="preserve">epr - elsaesser public relations, Maximilianstraße 50, 86150 Augsburg, Sabine Hensold, Tel: +49 821 4508 7917, </w:t>
      </w:r>
      <w:r>
        <w:rPr>
          <w:rFonts w:ascii="Verdana" w:hAnsi="Verdana"/>
          <w:sz w:val="16"/>
          <w:szCs w:val="16"/>
        </w:rPr>
        <w:br/>
      </w:r>
      <w:r w:rsidRPr="002D0AB8">
        <w:rPr>
          <w:rFonts w:ascii="Verdana" w:hAnsi="Verdana"/>
          <w:sz w:val="16"/>
          <w:szCs w:val="16"/>
        </w:rPr>
        <w:t xml:space="preserve">E-Mail: sh@epr-online.de, </w:t>
      </w:r>
      <w:r w:rsidRPr="00E455FB">
        <w:rPr>
          <w:rFonts w:ascii="Verdana" w:hAnsi="Verdana"/>
          <w:sz w:val="16"/>
          <w:szCs w:val="16"/>
        </w:rPr>
        <w:t xml:space="preserve">Sophia Druwe, Tel: +49 821 4508 7919, E-Mail: sd@epr-online.de, </w:t>
      </w:r>
      <w:r w:rsidRPr="002D0AB8">
        <w:rPr>
          <w:rFonts w:ascii="Verdana" w:hAnsi="Verdana"/>
          <w:sz w:val="16"/>
          <w:szCs w:val="16"/>
        </w:rPr>
        <w:t>www.epr-online.de</w:t>
      </w:r>
    </w:p>
    <w:p w14:paraId="2B789963" w14:textId="0A82E4FC" w:rsidR="002D0AB8" w:rsidRPr="00E11FAE" w:rsidRDefault="002D0AB8" w:rsidP="00E11FAE"/>
    <w:sectPr w:rsidR="002D0AB8" w:rsidRPr="00E11FAE" w:rsidSect="009B2EB5">
      <w:headerReference w:type="default" r:id="rId16"/>
      <w:footerReference w:type="default" r:id="rId17"/>
      <w:headerReference w:type="first" r:id="rId18"/>
      <w:footerReference w:type="first" r:id="rId19"/>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21251" w14:textId="77777777" w:rsidR="009B2053" w:rsidRDefault="009B2053">
      <w:pPr>
        <w:rPr>
          <w:rFonts w:cs="Times New Roman"/>
        </w:rPr>
      </w:pPr>
      <w:r>
        <w:rPr>
          <w:rFonts w:cs="Times New Roman"/>
        </w:rPr>
        <w:separator/>
      </w:r>
    </w:p>
  </w:endnote>
  <w:endnote w:type="continuationSeparator" w:id="0">
    <w:p w14:paraId="11465913" w14:textId="77777777" w:rsidR="009B2053" w:rsidRDefault="009B2053">
      <w:pPr>
        <w:rPr>
          <w:rFonts w:cs="Times New Roman"/>
        </w:rPr>
      </w:pPr>
      <w:r>
        <w:rPr>
          <w:rFonts w:cs="Times New Roman"/>
        </w:rPr>
        <w:continuationSeparator/>
      </w:r>
    </w:p>
  </w:endnote>
  <w:endnote w:type="continuationNotice" w:id="1">
    <w:p w14:paraId="262F2FC4" w14:textId="77777777" w:rsidR="009B2053" w:rsidRDefault="009B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F1A69" w14:textId="77777777" w:rsidR="009B2053" w:rsidRDefault="009B2053">
      <w:pPr>
        <w:rPr>
          <w:rFonts w:cs="Times New Roman"/>
        </w:rPr>
      </w:pPr>
      <w:r>
        <w:rPr>
          <w:rFonts w:cs="Times New Roman"/>
        </w:rPr>
        <w:separator/>
      </w:r>
    </w:p>
  </w:footnote>
  <w:footnote w:type="continuationSeparator" w:id="0">
    <w:p w14:paraId="6F64B58A" w14:textId="77777777" w:rsidR="009B2053" w:rsidRDefault="009B2053">
      <w:pPr>
        <w:rPr>
          <w:rFonts w:cs="Times New Roman"/>
        </w:rPr>
      </w:pPr>
      <w:r>
        <w:rPr>
          <w:rFonts w:cs="Times New Roman"/>
        </w:rPr>
        <w:continuationSeparator/>
      </w:r>
    </w:p>
  </w:footnote>
  <w:footnote w:type="continuationNotice" w:id="1">
    <w:p w14:paraId="4E36A682" w14:textId="77777777" w:rsidR="009B2053" w:rsidRDefault="009B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6CA7"/>
    <w:rsid w:val="001A0834"/>
    <w:rsid w:val="001A0DC1"/>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71A1"/>
    <w:rsid w:val="001E7A5B"/>
    <w:rsid w:val="001F2385"/>
    <w:rsid w:val="00201A74"/>
    <w:rsid w:val="00201E60"/>
    <w:rsid w:val="00202A32"/>
    <w:rsid w:val="00203DE9"/>
    <w:rsid w:val="00206AD9"/>
    <w:rsid w:val="00211E0D"/>
    <w:rsid w:val="00213509"/>
    <w:rsid w:val="00213F49"/>
    <w:rsid w:val="002156B0"/>
    <w:rsid w:val="002215DF"/>
    <w:rsid w:val="002230A4"/>
    <w:rsid w:val="00223A66"/>
    <w:rsid w:val="00227228"/>
    <w:rsid w:val="002272C7"/>
    <w:rsid w:val="0023590A"/>
    <w:rsid w:val="002360BC"/>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56FA"/>
    <w:rsid w:val="0030602C"/>
    <w:rsid w:val="0030767D"/>
    <w:rsid w:val="00312F41"/>
    <w:rsid w:val="00313D78"/>
    <w:rsid w:val="00325A22"/>
    <w:rsid w:val="00330B9D"/>
    <w:rsid w:val="00333051"/>
    <w:rsid w:val="003346D3"/>
    <w:rsid w:val="003358AE"/>
    <w:rsid w:val="003434AA"/>
    <w:rsid w:val="003462B7"/>
    <w:rsid w:val="003650C1"/>
    <w:rsid w:val="00365342"/>
    <w:rsid w:val="003700DE"/>
    <w:rsid w:val="003725C0"/>
    <w:rsid w:val="00372740"/>
    <w:rsid w:val="00372C65"/>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70D4"/>
    <w:rsid w:val="005071C8"/>
    <w:rsid w:val="005101A5"/>
    <w:rsid w:val="00513F09"/>
    <w:rsid w:val="00516B8D"/>
    <w:rsid w:val="00522A99"/>
    <w:rsid w:val="00522CDC"/>
    <w:rsid w:val="00523840"/>
    <w:rsid w:val="0052751A"/>
    <w:rsid w:val="00527D52"/>
    <w:rsid w:val="00527DCC"/>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75D"/>
    <w:rsid w:val="00580095"/>
    <w:rsid w:val="00581D95"/>
    <w:rsid w:val="005828DA"/>
    <w:rsid w:val="00586FC1"/>
    <w:rsid w:val="00593092"/>
    <w:rsid w:val="00594BD4"/>
    <w:rsid w:val="00597F1B"/>
    <w:rsid w:val="005A1C73"/>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6504"/>
    <w:rsid w:val="00626D8B"/>
    <w:rsid w:val="0063067A"/>
    <w:rsid w:val="00630740"/>
    <w:rsid w:val="006323A7"/>
    <w:rsid w:val="00635DB5"/>
    <w:rsid w:val="0064145C"/>
    <w:rsid w:val="00642D80"/>
    <w:rsid w:val="006434A5"/>
    <w:rsid w:val="006434EE"/>
    <w:rsid w:val="00646C9A"/>
    <w:rsid w:val="00647CEB"/>
    <w:rsid w:val="006506C4"/>
    <w:rsid w:val="006553E1"/>
    <w:rsid w:val="0065656E"/>
    <w:rsid w:val="00657112"/>
    <w:rsid w:val="00663D07"/>
    <w:rsid w:val="00667DD0"/>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78A4"/>
    <w:rsid w:val="00C47AD9"/>
    <w:rsid w:val="00C50D59"/>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4EE8"/>
    <w:rsid w:val="00D855C1"/>
    <w:rsid w:val="00D860CE"/>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F2F4C"/>
    <w:rsid w:val="00DF4EF7"/>
    <w:rsid w:val="00E07B77"/>
    <w:rsid w:val="00E11C69"/>
    <w:rsid w:val="00E11F3F"/>
    <w:rsid w:val="00E11FAE"/>
    <w:rsid w:val="00E12D1D"/>
    <w:rsid w:val="00E16C0E"/>
    <w:rsid w:val="00E17D24"/>
    <w:rsid w:val="00E227BE"/>
    <w:rsid w:val="00E26ABB"/>
    <w:rsid w:val="00E27DBB"/>
    <w:rsid w:val="00E332F7"/>
    <w:rsid w:val="00E368C2"/>
    <w:rsid w:val="00E4077B"/>
    <w:rsid w:val="00E41363"/>
    <w:rsid w:val="00E455FB"/>
    <w:rsid w:val="00E46E79"/>
    <w:rsid w:val="00E52220"/>
    <w:rsid w:val="00E55BD3"/>
    <w:rsid w:val="00E626E9"/>
    <w:rsid w:val="00E66629"/>
    <w:rsid w:val="00E67D4D"/>
    <w:rsid w:val="00E70E2D"/>
    <w:rsid w:val="00E713D6"/>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529"/>
    <w:rsid w:val="00F02687"/>
    <w:rsid w:val="00F0282B"/>
    <w:rsid w:val="00F03611"/>
    <w:rsid w:val="00F05C35"/>
    <w:rsid w:val="00F14DCA"/>
    <w:rsid w:val="00F1743D"/>
    <w:rsid w:val="00F278D3"/>
    <w:rsid w:val="00F30CA1"/>
    <w:rsid w:val="00F30E31"/>
    <w:rsid w:val="00F327B7"/>
    <w:rsid w:val="00F33074"/>
    <w:rsid w:val="00F3461A"/>
    <w:rsid w:val="00F40614"/>
    <w:rsid w:val="00F419C4"/>
    <w:rsid w:val="00F42BAD"/>
    <w:rsid w:val="00F448CE"/>
    <w:rsid w:val="00F4790A"/>
    <w:rsid w:val="00F50A90"/>
    <w:rsid w:val="00F529C8"/>
    <w:rsid w:val="00F543C5"/>
    <w:rsid w:val="00F55823"/>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 w:type="paragraph" w:styleId="KeinLeerraum">
    <w:name w:val="No Spacing"/>
    <w:uiPriority w:val="1"/>
    <w:qFormat/>
    <w:rsid w:val="00E11FAE"/>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 w:id="1935358024">
          <w:marLeft w:val="0"/>
          <w:marRight w:val="0"/>
          <w:marTop w:val="0"/>
          <w:marBottom w:val="375"/>
          <w:divBdr>
            <w:top w:val="none" w:sz="0" w:space="0" w:color="auto"/>
            <w:left w:val="none" w:sz="0" w:space="0" w:color="auto"/>
            <w:bottom w:val="none" w:sz="0" w:space="0" w:color="auto"/>
            <w:right w:val="none" w:sz="0" w:space="0" w:color="auto"/>
          </w:divBdr>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1537621408">
                                      <w:marLeft w:val="0"/>
                                      <w:marRight w:val="0"/>
                                      <w:marTop w:val="525"/>
                                      <w:marBottom w:val="360"/>
                                      <w:divBdr>
                                        <w:top w:val="none" w:sz="0" w:space="0" w:color="auto"/>
                                        <w:left w:val="none" w:sz="0" w:space="0" w:color="auto"/>
                                        <w:bottom w:val="none" w:sz="0" w:space="0" w:color="auto"/>
                                        <w:right w:val="none" w:sz="0" w:space="0" w:color="auto"/>
                                      </w:divBdr>
                                    </w:div>
                                    <w:div w:id="85834727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1727726290">
                                      <w:marLeft w:val="0"/>
                                      <w:marRight w:val="0"/>
                                      <w:marTop w:val="780"/>
                                      <w:marBottom w:val="30"/>
                                      <w:divBdr>
                                        <w:top w:val="none" w:sz="0" w:space="0" w:color="auto"/>
                                        <w:left w:val="none" w:sz="0" w:space="0" w:color="auto"/>
                                        <w:bottom w:val="none" w:sz="0" w:space="0" w:color="auto"/>
                                        <w:right w:val="none" w:sz="0" w:space="0" w:color="auto"/>
                                      </w:divBdr>
                                    </w:div>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1005979657">
                                      <w:marLeft w:val="0"/>
                                      <w:marRight w:val="0"/>
                                      <w:marTop w:val="780"/>
                                      <w:marBottom w:val="0"/>
                                      <w:divBdr>
                                        <w:top w:val="none" w:sz="0" w:space="0" w:color="auto"/>
                                        <w:left w:val="none" w:sz="0" w:space="0" w:color="auto"/>
                                        <w:bottom w:val="none" w:sz="0" w:space="0" w:color="auto"/>
                                        <w:right w:val="none" w:sz="0" w:space="0" w:color="auto"/>
                                      </w:divBdr>
                                    </w:div>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de/customer-lifecycle-sup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de/anlagentechni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de/sap-logistik/" TargetMode="External"/><Relationship Id="rId5" Type="http://schemas.openxmlformats.org/officeDocument/2006/relationships/numbering" Target="numbering.xml"/><Relationship Id="rId15" Type="http://schemas.openxmlformats.org/officeDocument/2006/relationships/hyperlink" Target="http://www.swan.de/product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a848-1544-49da-abb4-42f1bb8c607b"/>
    <ds:schemaRef ds:uri="892277db-0f78-44af-80f8-f1ee78db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3B432C-D5DC-4FAF-A868-82DC98EB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4749</Characters>
  <Application>Microsoft Office Word</Application>
  <DocSecurity>0</DocSecurity>
  <Lines>39</Lines>
  <Paragraphs>10</Paragraphs>
  <ScaleCrop>false</ScaleCrop>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2020-07-13T14:59:00Z</dcterms:created>
  <dcterms:modified xsi:type="dcterms:W3CDTF">2020-07-14T08:39:00Z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