
<file path=[Content_Types].xml><?xml version="1.0" encoding="utf-8"?>
<Types xmlns="http://schemas.openxmlformats.org/package/2006/content-types">
  <Default Extension="emf" ContentType="image/x-emf"/>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435AC" w:rsidRPr="00075925" w:rsidRDefault="00571A31" w:rsidP="00846687">
      <w:pPr>
        <w:spacing w:line="360" w:lineRule="auto"/>
        <w:rPr>
          <w:rFonts w:ascii="Verdana" w:hAnsi="Verdana"/>
          <w:bCs/>
          <w:sz w:val="20"/>
          <w:szCs w:val="20"/>
          <w:u w:val="single"/>
        </w:rPr>
      </w:pPr>
      <w:r w:rsidRPr="00075925">
        <w:rPr>
          <w:rFonts w:ascii="Verdana" w:hAnsi="Verdana"/>
          <w:bCs/>
          <w:sz w:val="20"/>
          <w:szCs w:val="20"/>
          <w:u w:val="single"/>
        </w:rPr>
        <w:t xml:space="preserve">BU Multimedia Solutions der </w:t>
      </w:r>
      <w:proofErr w:type="spellStart"/>
      <w:r w:rsidRPr="00075925">
        <w:rPr>
          <w:rFonts w:ascii="Verdana" w:hAnsi="Verdana"/>
          <w:bCs/>
          <w:sz w:val="20"/>
          <w:szCs w:val="20"/>
          <w:u w:val="single"/>
        </w:rPr>
        <w:t>Prysmian</w:t>
      </w:r>
      <w:proofErr w:type="spellEnd"/>
      <w:r w:rsidRPr="00075925">
        <w:rPr>
          <w:rFonts w:ascii="Verdana" w:hAnsi="Verdana"/>
          <w:bCs/>
          <w:sz w:val="20"/>
          <w:szCs w:val="20"/>
          <w:u w:val="single"/>
        </w:rPr>
        <w:t xml:space="preserve"> Group ist Technologiepartner im neu gegründeten Bündnis für</w:t>
      </w:r>
      <w:r w:rsidR="0004528F" w:rsidRPr="00075925">
        <w:rPr>
          <w:rFonts w:ascii="Verdana" w:hAnsi="Verdana"/>
          <w:bCs/>
          <w:sz w:val="20"/>
          <w:szCs w:val="20"/>
          <w:u w:val="single"/>
        </w:rPr>
        <w:t xml:space="preserve"> </w:t>
      </w:r>
      <w:r w:rsidRPr="00075925">
        <w:rPr>
          <w:rFonts w:ascii="Verdana" w:hAnsi="Verdana"/>
          <w:bCs/>
          <w:sz w:val="20"/>
          <w:szCs w:val="20"/>
          <w:u w:val="single"/>
        </w:rPr>
        <w:t>SPE</w:t>
      </w:r>
    </w:p>
    <w:p w:rsidR="00846687" w:rsidRPr="00075925" w:rsidRDefault="00571A31" w:rsidP="00846687">
      <w:pPr>
        <w:spacing w:line="440" w:lineRule="atLeast"/>
        <w:jc w:val="both"/>
        <w:rPr>
          <w:rFonts w:ascii="Verdana" w:hAnsi="Verdana"/>
          <w:b/>
          <w:bCs/>
          <w:sz w:val="32"/>
          <w:szCs w:val="32"/>
        </w:rPr>
      </w:pPr>
      <w:r w:rsidRPr="00075925">
        <w:rPr>
          <w:rFonts w:ascii="Verdana" w:hAnsi="Verdana"/>
          <w:b/>
          <w:bCs/>
          <w:sz w:val="32"/>
          <w:szCs w:val="32"/>
        </w:rPr>
        <w:t>SPE System Alliance: Neuer Verbund für den Ausbau der SPE-Technologie</w:t>
      </w:r>
    </w:p>
    <w:p w:rsidR="00846687" w:rsidRPr="00075925" w:rsidRDefault="00846687" w:rsidP="00846687">
      <w:pPr>
        <w:spacing w:line="360" w:lineRule="auto"/>
        <w:jc w:val="both"/>
        <w:rPr>
          <w:rFonts w:ascii="Verdana" w:hAnsi="Verdana"/>
          <w:b/>
          <w:bCs/>
          <w:iCs/>
          <w:sz w:val="20"/>
          <w:szCs w:val="20"/>
        </w:rPr>
      </w:pPr>
    </w:p>
    <w:p w:rsidR="006675B8" w:rsidRPr="0004528F" w:rsidRDefault="00846687" w:rsidP="006675B8">
      <w:pPr>
        <w:spacing w:line="360" w:lineRule="auto"/>
        <w:jc w:val="both"/>
        <w:rPr>
          <w:rFonts w:ascii="Verdana" w:hAnsi="Verdana"/>
          <w:bCs/>
          <w:iCs/>
          <w:sz w:val="20"/>
          <w:szCs w:val="20"/>
        </w:rPr>
      </w:pPr>
      <w:r w:rsidRPr="00075925">
        <w:rPr>
          <w:rFonts w:ascii="Verdana" w:hAnsi="Verdana"/>
          <w:b/>
          <w:sz w:val="20"/>
          <w:szCs w:val="20"/>
        </w:rPr>
        <w:t xml:space="preserve">Köln, </w:t>
      </w:r>
      <w:r w:rsidR="007357EF" w:rsidRPr="00075925">
        <w:rPr>
          <w:rFonts w:ascii="Verdana" w:hAnsi="Verdana"/>
          <w:b/>
          <w:sz w:val="20"/>
          <w:szCs w:val="20"/>
        </w:rPr>
        <w:t>20</w:t>
      </w:r>
      <w:r w:rsidRPr="00075925">
        <w:rPr>
          <w:rFonts w:ascii="Verdana" w:hAnsi="Verdana"/>
          <w:b/>
          <w:sz w:val="20"/>
          <w:szCs w:val="20"/>
        </w:rPr>
        <w:t xml:space="preserve">. </w:t>
      </w:r>
      <w:r w:rsidR="007357EF" w:rsidRPr="00075925">
        <w:rPr>
          <w:rFonts w:ascii="Verdana" w:hAnsi="Verdana"/>
          <w:b/>
          <w:sz w:val="20"/>
          <w:szCs w:val="20"/>
        </w:rPr>
        <w:t xml:space="preserve">April </w:t>
      </w:r>
      <w:r w:rsidRPr="00075925">
        <w:rPr>
          <w:rFonts w:ascii="Verdana" w:hAnsi="Verdana"/>
          <w:b/>
          <w:sz w:val="20"/>
          <w:szCs w:val="20"/>
        </w:rPr>
        <w:t xml:space="preserve">2020 </w:t>
      </w:r>
      <w:r w:rsidR="0004528F" w:rsidRPr="00075925">
        <w:rPr>
          <w:rFonts w:ascii="Verdana" w:hAnsi="Verdana"/>
          <w:b/>
          <w:sz w:val="20"/>
          <w:szCs w:val="20"/>
        </w:rPr>
        <w:t>–</w:t>
      </w:r>
      <w:r w:rsidRPr="00075925">
        <w:rPr>
          <w:rFonts w:ascii="Verdana" w:hAnsi="Verdana"/>
          <w:b/>
          <w:sz w:val="20"/>
          <w:szCs w:val="20"/>
        </w:rPr>
        <w:t xml:space="preserve"> </w:t>
      </w:r>
      <w:r w:rsidR="0004528F" w:rsidRPr="00075925">
        <w:rPr>
          <w:rFonts w:ascii="Verdana" w:hAnsi="Verdana"/>
          <w:b/>
          <w:sz w:val="20"/>
          <w:szCs w:val="20"/>
        </w:rPr>
        <w:t xml:space="preserve">Der Geschäftsbereich Multimedia Solutions </w:t>
      </w:r>
      <w:r w:rsidR="009C72A3" w:rsidRPr="00075925">
        <w:rPr>
          <w:rFonts w:ascii="Verdana" w:hAnsi="Verdana"/>
          <w:b/>
          <w:sz w:val="20"/>
          <w:szCs w:val="20"/>
        </w:rPr>
        <w:t xml:space="preserve">(MMS) </w:t>
      </w:r>
      <w:r w:rsidR="0004528F" w:rsidRPr="00075925">
        <w:rPr>
          <w:rFonts w:ascii="Verdana" w:hAnsi="Verdana"/>
          <w:b/>
          <w:sz w:val="20"/>
          <w:szCs w:val="20"/>
        </w:rPr>
        <w:t xml:space="preserve">der </w:t>
      </w:r>
      <w:proofErr w:type="spellStart"/>
      <w:r w:rsidR="0004528F" w:rsidRPr="00075925">
        <w:rPr>
          <w:rFonts w:ascii="Verdana" w:hAnsi="Verdana"/>
          <w:b/>
          <w:sz w:val="20"/>
          <w:szCs w:val="20"/>
        </w:rPr>
        <w:t>Prysmian</w:t>
      </w:r>
      <w:proofErr w:type="spellEnd"/>
      <w:r w:rsidR="0004528F" w:rsidRPr="00075925">
        <w:rPr>
          <w:rFonts w:ascii="Verdana" w:hAnsi="Verdana"/>
          <w:b/>
          <w:sz w:val="20"/>
          <w:szCs w:val="20"/>
        </w:rPr>
        <w:t xml:space="preserve"> Group ist </w:t>
      </w:r>
      <w:r w:rsidR="00F00CC9" w:rsidRPr="00075925">
        <w:rPr>
          <w:rFonts w:ascii="Verdana" w:hAnsi="Verdana"/>
          <w:b/>
          <w:sz w:val="20"/>
          <w:szCs w:val="20"/>
        </w:rPr>
        <w:t>der</w:t>
      </w:r>
      <w:r w:rsidR="0004528F" w:rsidRPr="00075925">
        <w:rPr>
          <w:rFonts w:ascii="Verdana" w:hAnsi="Verdana"/>
          <w:b/>
          <w:sz w:val="20"/>
          <w:szCs w:val="20"/>
        </w:rPr>
        <w:t xml:space="preserve"> neu gegründeten SPE System Alliance</w:t>
      </w:r>
      <w:r w:rsidR="00F00CC9" w:rsidRPr="00075925">
        <w:rPr>
          <w:rFonts w:ascii="Verdana" w:hAnsi="Verdana"/>
          <w:b/>
          <w:sz w:val="20"/>
          <w:szCs w:val="20"/>
        </w:rPr>
        <w:t xml:space="preserve"> beigetreten</w:t>
      </w:r>
      <w:r w:rsidR="0004528F" w:rsidRPr="00075925">
        <w:rPr>
          <w:rFonts w:ascii="Verdana" w:hAnsi="Verdana"/>
          <w:b/>
          <w:sz w:val="20"/>
          <w:szCs w:val="20"/>
        </w:rPr>
        <w:t xml:space="preserve">. </w:t>
      </w:r>
      <w:r w:rsidR="009C72A3" w:rsidRPr="00075925">
        <w:rPr>
          <w:rFonts w:ascii="Verdana" w:hAnsi="Verdana"/>
          <w:b/>
          <w:sz w:val="20"/>
          <w:szCs w:val="20"/>
        </w:rPr>
        <w:t xml:space="preserve">Führende Technologieunternehmen </w:t>
      </w:r>
      <w:r w:rsidR="009C72A3" w:rsidRPr="00075925">
        <w:rPr>
          <w:rFonts w:ascii="Verdana" w:hAnsi="Verdana"/>
          <w:b/>
          <w:iCs/>
          <w:sz w:val="20"/>
          <w:szCs w:val="20"/>
        </w:rPr>
        <w:t xml:space="preserve">aus verschiedenen Branchen und Anwendungsbereichen haben sich in dem </w:t>
      </w:r>
      <w:r w:rsidR="00A03BB5" w:rsidRPr="00075925">
        <w:rPr>
          <w:rFonts w:ascii="Verdana" w:hAnsi="Verdana"/>
          <w:b/>
          <w:iCs/>
          <w:sz w:val="20"/>
          <w:szCs w:val="20"/>
        </w:rPr>
        <w:t xml:space="preserve">offenen </w:t>
      </w:r>
      <w:r w:rsidR="009C72A3" w:rsidRPr="00075925">
        <w:rPr>
          <w:rFonts w:ascii="Verdana" w:hAnsi="Verdana"/>
          <w:b/>
          <w:iCs/>
          <w:sz w:val="20"/>
          <w:szCs w:val="20"/>
        </w:rPr>
        <w:t xml:space="preserve">Verbund zusammengeschlossen, um </w:t>
      </w:r>
      <w:r w:rsidR="009C72A3" w:rsidRPr="00075925">
        <w:rPr>
          <w:rFonts w:ascii="Verdana" w:hAnsi="Verdana"/>
          <w:b/>
          <w:sz w:val="20"/>
          <w:szCs w:val="20"/>
        </w:rPr>
        <w:t xml:space="preserve">ihr </w:t>
      </w:r>
      <w:r w:rsidR="009C72A3" w:rsidRPr="00075925">
        <w:rPr>
          <w:rFonts w:ascii="Verdana" w:hAnsi="Verdana"/>
          <w:b/>
          <w:iCs/>
          <w:sz w:val="20"/>
          <w:szCs w:val="20"/>
        </w:rPr>
        <w:t>SPE-Know-how zu bündeln und zielorientiert auszutauschen. Sie verfolgen das Ziel, SPE für das Industrial Internet of Things (</w:t>
      </w:r>
      <w:proofErr w:type="spellStart"/>
      <w:r w:rsidR="009C72A3" w:rsidRPr="00075925">
        <w:rPr>
          <w:rFonts w:ascii="Verdana" w:hAnsi="Verdana"/>
          <w:b/>
          <w:iCs/>
          <w:sz w:val="20"/>
          <w:szCs w:val="20"/>
        </w:rPr>
        <w:t>IIoT</w:t>
      </w:r>
      <w:proofErr w:type="spellEnd"/>
      <w:r w:rsidR="009C72A3" w:rsidRPr="00075925">
        <w:rPr>
          <w:rFonts w:ascii="Verdana" w:hAnsi="Verdana"/>
          <w:b/>
          <w:iCs/>
          <w:sz w:val="20"/>
          <w:szCs w:val="20"/>
        </w:rPr>
        <w:t>) weiter voran zu treiben und in angrenzende</w:t>
      </w:r>
      <w:r w:rsidR="006675B8" w:rsidRPr="00075925">
        <w:rPr>
          <w:rFonts w:ascii="Verdana" w:hAnsi="Verdana"/>
          <w:b/>
          <w:iCs/>
          <w:sz w:val="20"/>
          <w:szCs w:val="20"/>
        </w:rPr>
        <w:t>n</w:t>
      </w:r>
      <w:r w:rsidR="009C72A3" w:rsidRPr="00075925">
        <w:rPr>
          <w:rFonts w:ascii="Verdana" w:hAnsi="Verdana"/>
          <w:b/>
          <w:iCs/>
          <w:sz w:val="20"/>
          <w:szCs w:val="20"/>
        </w:rPr>
        <w:t xml:space="preserve"> Bereiche</w:t>
      </w:r>
      <w:r w:rsidR="006675B8" w:rsidRPr="00075925">
        <w:rPr>
          <w:rFonts w:ascii="Verdana" w:hAnsi="Verdana"/>
          <w:b/>
          <w:iCs/>
          <w:sz w:val="20"/>
          <w:szCs w:val="20"/>
        </w:rPr>
        <w:t>n</w:t>
      </w:r>
      <w:r w:rsidR="009C72A3" w:rsidRPr="00075925">
        <w:rPr>
          <w:rFonts w:ascii="Verdana" w:hAnsi="Verdana"/>
          <w:b/>
          <w:iCs/>
          <w:sz w:val="20"/>
          <w:szCs w:val="20"/>
        </w:rPr>
        <w:t xml:space="preserve"> einzuführen.</w:t>
      </w:r>
      <w:r w:rsidR="0004528F" w:rsidRPr="00075925">
        <w:rPr>
          <w:rFonts w:ascii="Verdana" w:hAnsi="Verdana"/>
          <w:b/>
          <w:iCs/>
          <w:sz w:val="20"/>
          <w:szCs w:val="20"/>
        </w:rPr>
        <w:t xml:space="preserve"> </w:t>
      </w:r>
      <w:r w:rsidR="009C72A3" w:rsidRPr="00075925">
        <w:rPr>
          <w:rFonts w:ascii="Verdana" w:hAnsi="Verdana"/>
          <w:b/>
          <w:iCs/>
          <w:sz w:val="20"/>
          <w:szCs w:val="20"/>
        </w:rPr>
        <w:t>Die Hauptinitiatoren der</w:t>
      </w:r>
      <w:r w:rsidR="009C72A3" w:rsidRPr="00075925">
        <w:rPr>
          <w:rFonts w:ascii="Verdana" w:hAnsi="Verdana"/>
          <w:b/>
          <w:sz w:val="20"/>
          <w:szCs w:val="20"/>
        </w:rPr>
        <w:t xml:space="preserve"> Technologiepartnerschaft sind</w:t>
      </w:r>
      <w:r w:rsidR="009C72A3" w:rsidRPr="00075925">
        <w:rPr>
          <w:rFonts w:ascii="Verdana" w:hAnsi="Verdana"/>
          <w:b/>
          <w:iCs/>
          <w:sz w:val="20"/>
          <w:szCs w:val="20"/>
        </w:rPr>
        <w:t xml:space="preserve"> Phoenix Contact, Weidmüller, Reichle &amp; De Massari (R&amp;M), Fluke Networks sowie Telegärtner. Neben MMS sind </w:t>
      </w:r>
      <w:r w:rsidR="0004528F" w:rsidRPr="00075925">
        <w:rPr>
          <w:rFonts w:ascii="Verdana" w:hAnsi="Verdana"/>
          <w:b/>
          <w:iCs/>
          <w:sz w:val="20"/>
          <w:szCs w:val="20"/>
        </w:rPr>
        <w:t xml:space="preserve">Dätwyler, </w:t>
      </w:r>
      <w:proofErr w:type="spellStart"/>
      <w:r w:rsidR="0004528F" w:rsidRPr="00075925">
        <w:rPr>
          <w:rFonts w:ascii="Verdana" w:hAnsi="Verdana"/>
          <w:b/>
          <w:iCs/>
          <w:sz w:val="20"/>
          <w:szCs w:val="20"/>
        </w:rPr>
        <w:t>Kyland</w:t>
      </w:r>
      <w:proofErr w:type="spellEnd"/>
      <w:r w:rsidR="0004528F" w:rsidRPr="00075925">
        <w:rPr>
          <w:rFonts w:ascii="Verdana" w:hAnsi="Verdana"/>
          <w:b/>
          <w:iCs/>
          <w:sz w:val="20"/>
          <w:szCs w:val="20"/>
        </w:rPr>
        <w:t>, Microchip Technology, Rosenberger, Sick, O-Ring</w:t>
      </w:r>
      <w:r w:rsidR="009C72A3" w:rsidRPr="00075925">
        <w:rPr>
          <w:rFonts w:ascii="Verdana" w:hAnsi="Verdana"/>
          <w:b/>
          <w:iCs/>
          <w:sz w:val="20"/>
          <w:szCs w:val="20"/>
        </w:rPr>
        <w:t xml:space="preserve"> </w:t>
      </w:r>
      <w:r w:rsidR="0004528F" w:rsidRPr="00075925">
        <w:rPr>
          <w:rFonts w:ascii="Verdana" w:hAnsi="Verdana"/>
          <w:b/>
          <w:iCs/>
          <w:sz w:val="20"/>
          <w:szCs w:val="20"/>
        </w:rPr>
        <w:t xml:space="preserve">und University4Industry </w:t>
      </w:r>
      <w:r w:rsidR="009C72A3" w:rsidRPr="00075925">
        <w:rPr>
          <w:rFonts w:ascii="Verdana" w:hAnsi="Verdana"/>
          <w:b/>
          <w:iCs/>
          <w:sz w:val="20"/>
          <w:szCs w:val="20"/>
        </w:rPr>
        <w:t xml:space="preserve">dem Verbund </w:t>
      </w:r>
      <w:r w:rsidR="0004528F" w:rsidRPr="00075925">
        <w:rPr>
          <w:rFonts w:ascii="Verdana" w:hAnsi="Verdana"/>
          <w:b/>
          <w:iCs/>
          <w:sz w:val="20"/>
          <w:szCs w:val="20"/>
        </w:rPr>
        <w:t>beigetreten.</w:t>
      </w:r>
      <w:r w:rsidR="006675B8" w:rsidRPr="00075925">
        <w:rPr>
          <w:rFonts w:ascii="Verdana" w:hAnsi="Verdana"/>
          <w:b/>
          <w:iCs/>
          <w:sz w:val="20"/>
          <w:szCs w:val="20"/>
        </w:rPr>
        <w:t xml:space="preserve"> Weitere Informationen unter </w:t>
      </w:r>
      <w:hyperlink r:id="rId8" w:history="1">
        <w:r w:rsidR="006675B8" w:rsidRPr="00075925">
          <w:rPr>
            <w:rStyle w:val="Hyperlink"/>
            <w:rFonts w:ascii="Verdana" w:hAnsi="Verdana" w:cs="Courier"/>
            <w:bCs/>
            <w:iCs/>
            <w:sz w:val="20"/>
            <w:szCs w:val="20"/>
          </w:rPr>
          <w:t>www.singlepairethernet.com</w:t>
        </w:r>
      </w:hyperlink>
      <w:r w:rsidR="006675B8" w:rsidRPr="00075925">
        <w:rPr>
          <w:rFonts w:ascii="Verdana" w:hAnsi="Verdana"/>
          <w:bCs/>
          <w:iCs/>
          <w:sz w:val="20"/>
          <w:szCs w:val="20"/>
        </w:rPr>
        <w:t>.</w:t>
      </w:r>
      <w:r w:rsidR="006675B8" w:rsidRPr="0004528F">
        <w:rPr>
          <w:rFonts w:ascii="Verdana" w:hAnsi="Verdana"/>
          <w:bCs/>
          <w:iCs/>
          <w:sz w:val="20"/>
          <w:szCs w:val="20"/>
        </w:rPr>
        <w:t xml:space="preserve"> </w:t>
      </w:r>
    </w:p>
    <w:p w:rsidR="00A03BB5" w:rsidRPr="0004528F" w:rsidRDefault="00A03BB5" w:rsidP="00F00CC9">
      <w:pPr>
        <w:spacing w:line="360" w:lineRule="auto"/>
        <w:jc w:val="both"/>
        <w:rPr>
          <w:rFonts w:ascii="Verdana" w:hAnsi="Verdana"/>
          <w:bCs/>
          <w:iCs/>
          <w:sz w:val="20"/>
          <w:szCs w:val="20"/>
        </w:rPr>
      </w:pPr>
    </w:p>
    <w:p w:rsidR="0004528F" w:rsidRPr="0004528F" w:rsidRDefault="0004528F" w:rsidP="00F00CC9">
      <w:pPr>
        <w:spacing w:line="360" w:lineRule="auto"/>
        <w:jc w:val="both"/>
        <w:rPr>
          <w:rFonts w:ascii="Verdana" w:hAnsi="Verdana"/>
          <w:b/>
          <w:bCs/>
          <w:iCs/>
          <w:sz w:val="20"/>
          <w:szCs w:val="20"/>
        </w:rPr>
      </w:pPr>
      <w:r w:rsidRPr="0004528F">
        <w:rPr>
          <w:rFonts w:ascii="Verdana" w:hAnsi="Verdana"/>
          <w:b/>
          <w:bCs/>
          <w:iCs/>
          <w:sz w:val="20"/>
          <w:szCs w:val="20"/>
        </w:rPr>
        <w:t>Synergien in der SPE System Alliance</w:t>
      </w:r>
    </w:p>
    <w:p w:rsidR="0004528F" w:rsidRDefault="0004528F" w:rsidP="00F00CC9">
      <w:pPr>
        <w:spacing w:line="360" w:lineRule="auto"/>
        <w:jc w:val="both"/>
        <w:rPr>
          <w:rFonts w:ascii="Verdana" w:hAnsi="Verdana"/>
          <w:bCs/>
          <w:iCs/>
          <w:sz w:val="20"/>
          <w:szCs w:val="20"/>
        </w:rPr>
      </w:pPr>
      <w:r w:rsidRPr="0004528F">
        <w:rPr>
          <w:rFonts w:ascii="Verdana" w:hAnsi="Verdana"/>
          <w:bCs/>
          <w:iCs/>
          <w:sz w:val="20"/>
          <w:szCs w:val="20"/>
        </w:rPr>
        <w:t xml:space="preserve">Das Netzwerk dient der Zusammenarbeit an technologischen Herausforderungen bei der Umsetzung von SPE in </w:t>
      </w:r>
      <w:proofErr w:type="spellStart"/>
      <w:r w:rsidRPr="0004528F">
        <w:rPr>
          <w:rFonts w:ascii="Verdana" w:hAnsi="Verdana"/>
          <w:bCs/>
          <w:iCs/>
          <w:sz w:val="20"/>
          <w:szCs w:val="20"/>
        </w:rPr>
        <w:t>IIoT</w:t>
      </w:r>
      <w:proofErr w:type="spellEnd"/>
      <w:r w:rsidRPr="0004528F">
        <w:rPr>
          <w:rFonts w:ascii="Verdana" w:hAnsi="Verdana"/>
          <w:bCs/>
          <w:iCs/>
          <w:sz w:val="20"/>
          <w:szCs w:val="20"/>
        </w:rPr>
        <w:t>-Anwendungen. Die Unternehmen haben das Ziel, den eigenen Know-how-Aufbau für die SPE-Technologie zu beschleunigen und darüber eine schnellere und zuverlässigere Implementierung in ihre Produkte zu ermöglichen.</w:t>
      </w:r>
    </w:p>
    <w:p w:rsidR="00A03BB5" w:rsidRPr="0004528F" w:rsidRDefault="00A03BB5" w:rsidP="00F00CC9">
      <w:pPr>
        <w:spacing w:line="360" w:lineRule="auto"/>
        <w:jc w:val="both"/>
        <w:rPr>
          <w:rFonts w:ascii="Verdana" w:hAnsi="Verdana"/>
          <w:bCs/>
          <w:iCs/>
          <w:sz w:val="20"/>
          <w:szCs w:val="20"/>
        </w:rPr>
      </w:pPr>
    </w:p>
    <w:p w:rsidR="0004528F" w:rsidRDefault="0004528F" w:rsidP="00F00CC9">
      <w:pPr>
        <w:spacing w:line="360" w:lineRule="auto"/>
        <w:jc w:val="both"/>
        <w:rPr>
          <w:rFonts w:ascii="Verdana" w:hAnsi="Verdana"/>
          <w:bCs/>
          <w:iCs/>
          <w:sz w:val="20"/>
          <w:szCs w:val="20"/>
        </w:rPr>
      </w:pPr>
      <w:r w:rsidRPr="0004528F">
        <w:rPr>
          <w:rFonts w:ascii="Verdana" w:hAnsi="Verdana"/>
          <w:bCs/>
          <w:iCs/>
          <w:sz w:val="20"/>
          <w:szCs w:val="20"/>
        </w:rPr>
        <w:t>Durch die Ausrichtung zu einer branchen- und applikationsübergreifende Austauschplattform kommen Unternehmen aus allen zukünftigen SPE-</w:t>
      </w:r>
      <w:proofErr w:type="spellStart"/>
      <w:r w:rsidRPr="0004528F">
        <w:rPr>
          <w:rFonts w:ascii="Verdana" w:hAnsi="Verdana"/>
          <w:bCs/>
          <w:iCs/>
          <w:sz w:val="20"/>
          <w:szCs w:val="20"/>
        </w:rPr>
        <w:t>Ecosystemen</w:t>
      </w:r>
      <w:proofErr w:type="spellEnd"/>
      <w:r w:rsidRPr="0004528F">
        <w:rPr>
          <w:rFonts w:ascii="Verdana" w:hAnsi="Verdana"/>
          <w:bCs/>
          <w:iCs/>
          <w:sz w:val="20"/>
          <w:szCs w:val="20"/>
        </w:rPr>
        <w:t xml:space="preserve"> zusammen. Der Blick ist dabei nicht auf Einzelaspekte wie die Anschlusstechnik fokussiert. Es geht um Fragestellungen und Herausforderungen, die im Zusammenhang mit SPE bei vielen Marktteilnehmern nach wie vor bestehen. Regelaustauschformate und gemeinsame Projektaktivitäten bieten Raum für enge Kooperationen. Die Mitglieder arbeiten bereits in ersten </w:t>
      </w:r>
      <w:proofErr w:type="spellStart"/>
      <w:r w:rsidRPr="0004528F">
        <w:rPr>
          <w:rFonts w:ascii="Verdana" w:hAnsi="Verdana"/>
          <w:bCs/>
          <w:iCs/>
          <w:sz w:val="20"/>
          <w:szCs w:val="20"/>
        </w:rPr>
        <w:t>Subcommunities</w:t>
      </w:r>
      <w:proofErr w:type="spellEnd"/>
      <w:r w:rsidRPr="0004528F">
        <w:rPr>
          <w:rFonts w:ascii="Verdana" w:hAnsi="Verdana"/>
          <w:bCs/>
          <w:iCs/>
          <w:sz w:val="20"/>
          <w:szCs w:val="20"/>
        </w:rPr>
        <w:t xml:space="preserve"> zusammen, unter anderem in den Bereichen der Anschlusstechnik, Normung, SPE-Use-Case-Beschreibung oder auch für Kabellösungen.</w:t>
      </w:r>
    </w:p>
    <w:p w:rsidR="00486021" w:rsidRDefault="00486021" w:rsidP="00F00CC9">
      <w:pPr>
        <w:spacing w:line="360" w:lineRule="auto"/>
        <w:jc w:val="both"/>
        <w:rPr>
          <w:rFonts w:ascii="Verdana" w:hAnsi="Verdana"/>
          <w:bCs/>
          <w:iCs/>
          <w:sz w:val="20"/>
          <w:szCs w:val="20"/>
        </w:rPr>
      </w:pPr>
    </w:p>
    <w:p w:rsidR="00940C36" w:rsidRDefault="00486021" w:rsidP="00486021">
      <w:pPr>
        <w:spacing w:line="360" w:lineRule="auto"/>
        <w:jc w:val="both"/>
        <w:rPr>
          <w:rFonts w:ascii="Verdana" w:hAnsi="Verdana"/>
          <w:bCs/>
          <w:iCs/>
          <w:sz w:val="20"/>
          <w:szCs w:val="20"/>
        </w:rPr>
      </w:pPr>
      <w:r w:rsidRPr="00075925">
        <w:rPr>
          <w:rFonts w:ascii="Verdana" w:hAnsi="Verdana"/>
          <w:bCs/>
          <w:iCs/>
          <w:sz w:val="20"/>
          <w:szCs w:val="20"/>
        </w:rPr>
        <w:lastRenderedPageBreak/>
        <w:t xml:space="preserve">„Das Potential der </w:t>
      </w:r>
      <w:r w:rsidR="00940C36" w:rsidRPr="00075925">
        <w:rPr>
          <w:rFonts w:ascii="Verdana" w:hAnsi="Verdana"/>
          <w:bCs/>
          <w:iCs/>
          <w:sz w:val="20"/>
          <w:szCs w:val="20"/>
        </w:rPr>
        <w:t>SPE-</w:t>
      </w:r>
      <w:r w:rsidRPr="00075925">
        <w:rPr>
          <w:rFonts w:ascii="Verdana" w:hAnsi="Verdana"/>
          <w:bCs/>
          <w:iCs/>
          <w:sz w:val="20"/>
          <w:szCs w:val="20"/>
        </w:rPr>
        <w:t xml:space="preserve">Technologie ist enorm. </w:t>
      </w:r>
      <w:r w:rsidR="00940C36" w:rsidRPr="00075925">
        <w:rPr>
          <w:rFonts w:ascii="Verdana" w:hAnsi="Verdana"/>
          <w:bCs/>
          <w:iCs/>
          <w:sz w:val="20"/>
          <w:szCs w:val="20"/>
        </w:rPr>
        <w:t>Die Gründung der SPE System Alliance ist ein wichtiger Meilenstein, u</w:t>
      </w:r>
      <w:r w:rsidRPr="00075925">
        <w:rPr>
          <w:rFonts w:ascii="Verdana" w:hAnsi="Verdana"/>
          <w:bCs/>
          <w:iCs/>
          <w:sz w:val="20"/>
          <w:szCs w:val="20"/>
        </w:rPr>
        <w:t xml:space="preserve">m dieses </w:t>
      </w:r>
      <w:r w:rsidR="00940C36" w:rsidRPr="00075925">
        <w:rPr>
          <w:rFonts w:ascii="Verdana" w:hAnsi="Verdana"/>
          <w:bCs/>
          <w:iCs/>
          <w:sz w:val="20"/>
          <w:szCs w:val="20"/>
        </w:rPr>
        <w:t xml:space="preserve">voll und ganz </w:t>
      </w:r>
      <w:r w:rsidRPr="00075925">
        <w:rPr>
          <w:rFonts w:ascii="Verdana" w:hAnsi="Verdana"/>
          <w:bCs/>
          <w:iCs/>
          <w:sz w:val="20"/>
          <w:szCs w:val="20"/>
        </w:rPr>
        <w:t>auszuschöpfen</w:t>
      </w:r>
      <w:r w:rsidR="00940C36" w:rsidRPr="00075925">
        <w:rPr>
          <w:rFonts w:ascii="Verdana" w:hAnsi="Verdana"/>
          <w:bCs/>
          <w:iCs/>
          <w:sz w:val="20"/>
          <w:szCs w:val="20"/>
        </w:rPr>
        <w:t xml:space="preserve">. Das Bündnis bringt </w:t>
      </w:r>
      <w:r w:rsidRPr="00075925">
        <w:rPr>
          <w:rFonts w:ascii="Verdana" w:hAnsi="Verdana"/>
          <w:bCs/>
          <w:iCs/>
          <w:sz w:val="20"/>
          <w:szCs w:val="20"/>
        </w:rPr>
        <w:t xml:space="preserve">Experten </w:t>
      </w:r>
      <w:r w:rsidR="00940C36" w:rsidRPr="00075925">
        <w:rPr>
          <w:rFonts w:ascii="Verdana" w:hAnsi="Verdana"/>
          <w:bCs/>
          <w:iCs/>
          <w:sz w:val="20"/>
          <w:szCs w:val="20"/>
        </w:rPr>
        <w:t xml:space="preserve">aus unterschiedlichen Bereichen zum konstruktiven Austausch </w:t>
      </w:r>
      <w:r w:rsidRPr="00075925">
        <w:rPr>
          <w:rFonts w:ascii="Verdana" w:hAnsi="Verdana"/>
          <w:bCs/>
          <w:iCs/>
          <w:sz w:val="20"/>
          <w:szCs w:val="20"/>
        </w:rPr>
        <w:t>zusammen</w:t>
      </w:r>
      <w:r w:rsidR="00940C36" w:rsidRPr="00075925">
        <w:rPr>
          <w:rFonts w:ascii="Verdana" w:hAnsi="Verdana"/>
          <w:bCs/>
          <w:iCs/>
          <w:sz w:val="20"/>
          <w:szCs w:val="20"/>
        </w:rPr>
        <w:t xml:space="preserve"> und fördert </w:t>
      </w:r>
      <w:r w:rsidR="006675B8" w:rsidRPr="00075925">
        <w:rPr>
          <w:rFonts w:ascii="Verdana" w:hAnsi="Verdana"/>
          <w:bCs/>
          <w:iCs/>
          <w:sz w:val="20"/>
          <w:szCs w:val="20"/>
        </w:rPr>
        <w:t>das gemeinsame Entwickeln von Lösungen zur Implementierung von S</w:t>
      </w:r>
      <w:r w:rsidR="00940C36" w:rsidRPr="00075925">
        <w:rPr>
          <w:rFonts w:ascii="Verdana" w:hAnsi="Verdana"/>
          <w:bCs/>
          <w:iCs/>
          <w:sz w:val="20"/>
          <w:szCs w:val="20"/>
        </w:rPr>
        <w:t xml:space="preserve">PE in </w:t>
      </w:r>
      <w:proofErr w:type="spellStart"/>
      <w:r w:rsidR="00940C36" w:rsidRPr="00075925">
        <w:rPr>
          <w:rFonts w:ascii="Verdana" w:hAnsi="Verdana"/>
          <w:bCs/>
          <w:iCs/>
          <w:sz w:val="20"/>
          <w:szCs w:val="20"/>
        </w:rPr>
        <w:t>IIoT</w:t>
      </w:r>
      <w:proofErr w:type="spellEnd"/>
      <w:r w:rsidR="00940C36" w:rsidRPr="00075925">
        <w:rPr>
          <w:rFonts w:ascii="Verdana" w:hAnsi="Verdana"/>
          <w:bCs/>
          <w:iCs/>
          <w:sz w:val="20"/>
          <w:szCs w:val="20"/>
        </w:rPr>
        <w:t>-</w:t>
      </w:r>
      <w:r w:rsidR="006675B8" w:rsidRPr="00075925">
        <w:rPr>
          <w:rFonts w:ascii="Verdana" w:hAnsi="Verdana"/>
          <w:bCs/>
          <w:iCs/>
          <w:sz w:val="20"/>
          <w:szCs w:val="20"/>
        </w:rPr>
        <w:t>Applikationen</w:t>
      </w:r>
      <w:r w:rsidRPr="00075925">
        <w:rPr>
          <w:rFonts w:ascii="Verdana" w:hAnsi="Verdana"/>
          <w:bCs/>
          <w:iCs/>
          <w:sz w:val="20"/>
          <w:szCs w:val="20"/>
        </w:rPr>
        <w:t>“, sagt Andreas Wassmuth, Business Development Direktor der Business Unit MMS. „</w:t>
      </w:r>
      <w:r w:rsidR="00940C36" w:rsidRPr="00075925">
        <w:rPr>
          <w:rFonts w:ascii="Verdana" w:hAnsi="Verdana"/>
          <w:bCs/>
          <w:iCs/>
          <w:sz w:val="20"/>
          <w:szCs w:val="20"/>
        </w:rPr>
        <w:t xml:space="preserve">Wir freuen uns, durch unsere Mitgliedschaft an einer schnellen und breiten Etablierung von SPE </w:t>
      </w:r>
      <w:r w:rsidR="006675B8" w:rsidRPr="00075925">
        <w:rPr>
          <w:rFonts w:ascii="Verdana" w:hAnsi="Verdana"/>
          <w:bCs/>
          <w:iCs/>
          <w:sz w:val="20"/>
          <w:szCs w:val="20"/>
        </w:rPr>
        <w:t xml:space="preserve">aktiv </w:t>
      </w:r>
      <w:r w:rsidR="00940C36" w:rsidRPr="00075925">
        <w:rPr>
          <w:rFonts w:ascii="Verdana" w:hAnsi="Verdana"/>
          <w:bCs/>
          <w:iCs/>
          <w:sz w:val="20"/>
          <w:szCs w:val="20"/>
        </w:rPr>
        <w:t>mitwirken zu können.“</w:t>
      </w:r>
    </w:p>
    <w:p w:rsidR="00A03BB5" w:rsidRPr="0004528F" w:rsidRDefault="00A03BB5" w:rsidP="00F00CC9">
      <w:pPr>
        <w:spacing w:line="360" w:lineRule="auto"/>
        <w:jc w:val="both"/>
        <w:rPr>
          <w:rFonts w:ascii="Verdana" w:hAnsi="Verdana"/>
          <w:bCs/>
          <w:iCs/>
          <w:sz w:val="20"/>
          <w:szCs w:val="20"/>
        </w:rPr>
      </w:pPr>
    </w:p>
    <w:p w:rsidR="0004528F" w:rsidRPr="0004528F" w:rsidRDefault="0004528F" w:rsidP="00F00CC9">
      <w:pPr>
        <w:spacing w:line="360" w:lineRule="auto"/>
        <w:jc w:val="both"/>
        <w:rPr>
          <w:rFonts w:ascii="Verdana" w:hAnsi="Verdana"/>
          <w:b/>
          <w:iCs/>
          <w:sz w:val="20"/>
          <w:szCs w:val="20"/>
        </w:rPr>
      </w:pPr>
      <w:r w:rsidRPr="0004528F">
        <w:rPr>
          <w:rFonts w:ascii="Verdana" w:hAnsi="Verdana"/>
          <w:b/>
          <w:iCs/>
          <w:sz w:val="20"/>
          <w:szCs w:val="20"/>
        </w:rPr>
        <w:t>Durch die breite Aufstellung der SPE System Alliance werden eine Vielzahl von Anwendungsfällen und Applikationsfeldern bereits abgedeckt</w:t>
      </w:r>
      <w:r w:rsidR="006675B8">
        <w:rPr>
          <w:rFonts w:ascii="Verdana" w:hAnsi="Verdana"/>
          <w:b/>
          <w:iCs/>
          <w:sz w:val="20"/>
          <w:szCs w:val="20"/>
        </w:rPr>
        <w:t>.</w:t>
      </w:r>
    </w:p>
    <w:p w:rsidR="0004528F" w:rsidRPr="0004528F" w:rsidRDefault="0004528F" w:rsidP="00F00CC9">
      <w:pPr>
        <w:spacing w:line="360" w:lineRule="auto"/>
        <w:jc w:val="both"/>
        <w:rPr>
          <w:rFonts w:ascii="Verdana" w:hAnsi="Verdana"/>
          <w:bCs/>
          <w:iCs/>
          <w:sz w:val="20"/>
          <w:szCs w:val="20"/>
        </w:rPr>
      </w:pPr>
    </w:p>
    <w:p w:rsidR="0004528F" w:rsidRPr="0004528F" w:rsidRDefault="0004528F" w:rsidP="00F00CC9">
      <w:pPr>
        <w:spacing w:line="360" w:lineRule="auto"/>
        <w:jc w:val="both"/>
        <w:rPr>
          <w:rFonts w:ascii="Verdana" w:hAnsi="Verdana"/>
          <w:bCs/>
          <w:iCs/>
          <w:sz w:val="20"/>
          <w:szCs w:val="20"/>
        </w:rPr>
      </w:pPr>
      <w:r w:rsidRPr="0004528F">
        <w:rPr>
          <w:rFonts w:ascii="Verdana" w:hAnsi="Verdana"/>
          <w:b/>
          <w:bCs/>
          <w:iCs/>
          <w:sz w:val="20"/>
          <w:szCs w:val="20"/>
        </w:rPr>
        <w:t>SPE im Bereich Automotive - Impulse aus der Fahrzeugindustrie</w:t>
      </w:r>
    </w:p>
    <w:p w:rsidR="0004528F" w:rsidRPr="0004528F" w:rsidRDefault="0004528F" w:rsidP="00F00CC9">
      <w:pPr>
        <w:spacing w:line="360" w:lineRule="auto"/>
        <w:jc w:val="both"/>
        <w:rPr>
          <w:rFonts w:ascii="Verdana" w:hAnsi="Verdana"/>
          <w:bCs/>
          <w:iCs/>
          <w:sz w:val="20"/>
          <w:szCs w:val="20"/>
        </w:rPr>
      </w:pPr>
      <w:r w:rsidRPr="0004528F">
        <w:rPr>
          <w:rFonts w:ascii="Verdana" w:hAnsi="Verdana"/>
          <w:bCs/>
          <w:iCs/>
          <w:sz w:val="20"/>
          <w:szCs w:val="20"/>
        </w:rPr>
        <w:t xml:space="preserve">In den heutigen Fahrzeuggenerationen werden Ethernet-Systeme in wachsendem Maße verbaut. Durch die Vernetzung von Steuergeräten und Sensoren lassen sich weitere Innovationen in den Bereichen Fahrerassistenzsysteme, wie LiDAR, hochauflösende Displays, autonomes Fahren, 4K Kameras und Infotainment realisieren. Die Entwicklung des automobilen Ethernets hat zu zwei IEEE-Standards geführt: 100BASE-T1 (100 Mbit/s basierend auf </w:t>
      </w:r>
      <w:proofErr w:type="spellStart"/>
      <w:r w:rsidRPr="0004528F">
        <w:rPr>
          <w:rFonts w:ascii="Verdana" w:hAnsi="Verdana"/>
          <w:bCs/>
          <w:iCs/>
          <w:sz w:val="20"/>
          <w:szCs w:val="20"/>
        </w:rPr>
        <w:t>BroadR</w:t>
      </w:r>
      <w:proofErr w:type="spellEnd"/>
      <w:r w:rsidRPr="0004528F">
        <w:rPr>
          <w:rFonts w:ascii="Verdana" w:hAnsi="Verdana"/>
          <w:bCs/>
          <w:iCs/>
          <w:sz w:val="20"/>
          <w:szCs w:val="20"/>
        </w:rPr>
        <w:t>-</w:t>
      </w:r>
      <w:proofErr w:type="spellStart"/>
      <w:r w:rsidRPr="0004528F">
        <w:rPr>
          <w:rFonts w:ascii="Verdana" w:hAnsi="Verdana"/>
          <w:bCs/>
          <w:iCs/>
          <w:sz w:val="20"/>
          <w:szCs w:val="20"/>
        </w:rPr>
        <w:t>Reach</w:t>
      </w:r>
      <w:proofErr w:type="spellEnd"/>
      <w:r w:rsidRPr="0004528F">
        <w:rPr>
          <w:rFonts w:ascii="Verdana" w:hAnsi="Verdana"/>
          <w:bCs/>
          <w:iCs/>
          <w:sz w:val="20"/>
          <w:szCs w:val="20"/>
        </w:rPr>
        <w:t>-Technologie) sowie 1000BASE-T1 (1 Gbit/s). Aus den Anforderungen an den Gesamtkanal wurden Grenzwerte für die Steckverbinder und Kabel sowie damit einhergehende Messverfahren definiert. Das Partnerunternehmen Rosenberger beteiligte sich federführend an der Standardisierung in beiden Gremien in den Bereichen Automotive-Steckverbinder-Design, Signalintegrität und EMV.</w:t>
      </w:r>
    </w:p>
    <w:p w:rsidR="0004528F" w:rsidRPr="0004528F" w:rsidRDefault="0004528F" w:rsidP="00F00CC9">
      <w:pPr>
        <w:spacing w:line="360" w:lineRule="auto"/>
        <w:jc w:val="both"/>
        <w:rPr>
          <w:rFonts w:ascii="Verdana" w:hAnsi="Verdana"/>
          <w:b/>
          <w:bCs/>
          <w:iCs/>
          <w:sz w:val="20"/>
          <w:szCs w:val="20"/>
        </w:rPr>
      </w:pPr>
    </w:p>
    <w:p w:rsidR="0004528F" w:rsidRPr="0004528F" w:rsidRDefault="0004528F" w:rsidP="00F00CC9">
      <w:pPr>
        <w:spacing w:line="360" w:lineRule="auto"/>
        <w:jc w:val="both"/>
        <w:rPr>
          <w:rFonts w:ascii="Verdana" w:hAnsi="Verdana"/>
          <w:b/>
          <w:bCs/>
          <w:iCs/>
          <w:sz w:val="20"/>
          <w:szCs w:val="20"/>
        </w:rPr>
      </w:pPr>
      <w:r w:rsidRPr="0004528F">
        <w:rPr>
          <w:rFonts w:ascii="Verdana" w:hAnsi="Verdana"/>
          <w:b/>
          <w:bCs/>
          <w:iCs/>
          <w:sz w:val="20"/>
          <w:szCs w:val="20"/>
        </w:rPr>
        <w:t>SPE für Building Automation</w:t>
      </w:r>
    </w:p>
    <w:p w:rsidR="0004528F" w:rsidRPr="0004528F" w:rsidRDefault="0004528F" w:rsidP="00F00CC9">
      <w:pPr>
        <w:spacing w:line="360" w:lineRule="auto"/>
        <w:jc w:val="both"/>
        <w:rPr>
          <w:rFonts w:ascii="Verdana" w:hAnsi="Verdana"/>
          <w:bCs/>
          <w:iCs/>
          <w:sz w:val="20"/>
          <w:szCs w:val="20"/>
        </w:rPr>
      </w:pPr>
      <w:r w:rsidRPr="0004528F">
        <w:rPr>
          <w:rFonts w:ascii="Verdana" w:hAnsi="Verdana"/>
          <w:bCs/>
          <w:iCs/>
          <w:sz w:val="20"/>
          <w:szCs w:val="20"/>
        </w:rPr>
        <w:t xml:space="preserve">Smarte Gebäude und Fabriken lassen sich durch das Internet of Things (IoT) einfacher und günstiger realisieren. Mit dem IP-Protokoll werden LED-Lampen, Schalter, Sensoren, Thermostate, Maschinensteuerungen oder Motoren für Jalousien über das lokale Datennetz und die Cloud mit dem Gebäudemanagementsystem verbunden. Anwendungsspezifische Feldbus-Systeme entfallen und damit auch Gateways, komplexe Schnittstellen und unterschiedliche Protokolle. Mit der strukturierten Deckenverkabelung (Digital </w:t>
      </w:r>
      <w:proofErr w:type="spellStart"/>
      <w:r w:rsidRPr="0004528F">
        <w:rPr>
          <w:rFonts w:ascii="Verdana" w:hAnsi="Verdana"/>
          <w:bCs/>
          <w:iCs/>
          <w:sz w:val="20"/>
          <w:szCs w:val="20"/>
        </w:rPr>
        <w:t>Ceiling</w:t>
      </w:r>
      <w:proofErr w:type="spellEnd"/>
      <w:r w:rsidRPr="0004528F">
        <w:rPr>
          <w:rFonts w:ascii="Verdana" w:hAnsi="Verdana"/>
          <w:bCs/>
          <w:iCs/>
          <w:sz w:val="20"/>
          <w:szCs w:val="20"/>
        </w:rPr>
        <w:t>) lässt sich die intelligente Gebäudeautomation nahtlos via IP vereinen. Das vereinfacht Installation, Wartung und Netzwerkmanagement. Hohe Datenraten werden meist nicht benötigt, dafür eine hohe Anschlussdichte. SPE wird als ideale Ergänzung zur strukturierten Deckenverkabelung angesehen. Die existierende Verkabelung kann einfach mit SPE erweitert werden, um eine höhere Anschlussdichte für Geräte zu erreichen. R&amp;M und Telegärtner bieten Lösungen für die strukturierte Deckenverkabelung an und können aufzeigen, wie sich SPE in eine solche Lösung integrieren lässt.</w:t>
      </w:r>
    </w:p>
    <w:p w:rsidR="0004528F" w:rsidRPr="0004528F" w:rsidRDefault="0004528F" w:rsidP="00F00CC9">
      <w:pPr>
        <w:spacing w:line="360" w:lineRule="auto"/>
        <w:jc w:val="both"/>
        <w:rPr>
          <w:rFonts w:ascii="Verdana" w:hAnsi="Verdana"/>
          <w:bCs/>
          <w:iCs/>
          <w:sz w:val="20"/>
          <w:szCs w:val="20"/>
        </w:rPr>
      </w:pPr>
    </w:p>
    <w:p w:rsidR="0004528F" w:rsidRPr="0004528F" w:rsidRDefault="0004528F" w:rsidP="00F00CC9">
      <w:pPr>
        <w:spacing w:line="360" w:lineRule="auto"/>
        <w:jc w:val="both"/>
        <w:rPr>
          <w:rFonts w:ascii="Verdana" w:hAnsi="Verdana"/>
          <w:bCs/>
          <w:iCs/>
          <w:sz w:val="20"/>
          <w:szCs w:val="20"/>
        </w:rPr>
      </w:pPr>
      <w:r w:rsidRPr="0004528F">
        <w:rPr>
          <w:rFonts w:ascii="Verdana" w:hAnsi="Verdana"/>
          <w:b/>
          <w:bCs/>
          <w:iCs/>
          <w:sz w:val="20"/>
          <w:szCs w:val="20"/>
        </w:rPr>
        <w:lastRenderedPageBreak/>
        <w:t>SPE in der passiven Industrieverkabelung - Bereich Connectivity</w:t>
      </w:r>
      <w:r w:rsidRPr="0004528F">
        <w:rPr>
          <w:rFonts w:ascii="Verdana" w:hAnsi="Verdana"/>
          <w:bCs/>
          <w:iCs/>
          <w:sz w:val="20"/>
          <w:szCs w:val="20"/>
        </w:rPr>
        <w:t xml:space="preserve"> </w:t>
      </w:r>
    </w:p>
    <w:p w:rsidR="0004528F" w:rsidRPr="0004528F" w:rsidRDefault="0004528F" w:rsidP="00F00CC9">
      <w:pPr>
        <w:spacing w:line="360" w:lineRule="auto"/>
        <w:jc w:val="both"/>
        <w:rPr>
          <w:rFonts w:ascii="Verdana" w:hAnsi="Verdana"/>
          <w:bCs/>
          <w:iCs/>
          <w:sz w:val="20"/>
          <w:szCs w:val="20"/>
        </w:rPr>
      </w:pPr>
      <w:r w:rsidRPr="0004528F">
        <w:rPr>
          <w:rFonts w:ascii="Verdana" w:hAnsi="Verdana"/>
          <w:bCs/>
          <w:iCs/>
          <w:sz w:val="20"/>
          <w:szCs w:val="20"/>
        </w:rPr>
        <w:t>SPE bietet die durchgängige IP-Kommunikation von der Feld- bis in die Unternehmensebene und damit vom Sensor bis in die Cloud. Als Alternative zu den heutigen Feldbussen wird die Technologie die industrielle Datenübertragung revolutionieren. Die Grundlage für die barrierefreie Vernetzung verschiedener Komponenten und Geräte bilden normierte Steckgesichter. Phoenix Contact, Weidmüller, R&amp;M, Rosenberger und Telegärtner entwickeln kompakte Geräte- und Kabelsteckverbinder nach den normierten und vollständig kompatiblen Schnittstellen nach IEC 63171-2 (IP20) und 63171-5 (IP67). Das Steckgesicht kann in alle marktgängigen und normierten Steckervarianten (M8/M12) integriert werden und erlaubt durch hohe Packungsdichte und geringen Platzbedarf eine effiziente und zukunftssichere Verkabelung.</w:t>
      </w:r>
    </w:p>
    <w:p w:rsidR="0004528F" w:rsidRPr="0004528F" w:rsidRDefault="0004528F" w:rsidP="00F00CC9">
      <w:pPr>
        <w:spacing w:line="360" w:lineRule="auto"/>
        <w:jc w:val="both"/>
        <w:rPr>
          <w:rFonts w:ascii="Verdana" w:hAnsi="Verdana"/>
          <w:bCs/>
          <w:iCs/>
          <w:sz w:val="20"/>
          <w:szCs w:val="20"/>
        </w:rPr>
      </w:pPr>
    </w:p>
    <w:p w:rsidR="0004528F" w:rsidRPr="0004528F" w:rsidRDefault="0004528F" w:rsidP="00F00CC9">
      <w:pPr>
        <w:spacing w:line="360" w:lineRule="auto"/>
        <w:jc w:val="both"/>
        <w:rPr>
          <w:rFonts w:ascii="Verdana" w:hAnsi="Verdana"/>
          <w:bCs/>
          <w:iCs/>
          <w:sz w:val="20"/>
          <w:szCs w:val="20"/>
        </w:rPr>
      </w:pPr>
      <w:r w:rsidRPr="0004528F">
        <w:rPr>
          <w:rFonts w:ascii="Verdana" w:hAnsi="Verdana"/>
          <w:b/>
          <w:bCs/>
          <w:iCs/>
          <w:sz w:val="20"/>
          <w:szCs w:val="20"/>
        </w:rPr>
        <w:t>SPE in der Sensorik</w:t>
      </w:r>
    </w:p>
    <w:p w:rsidR="0004528F" w:rsidRPr="0004528F" w:rsidRDefault="0004528F" w:rsidP="00F00CC9">
      <w:pPr>
        <w:spacing w:line="360" w:lineRule="auto"/>
        <w:jc w:val="both"/>
        <w:rPr>
          <w:rFonts w:ascii="Verdana" w:hAnsi="Verdana"/>
          <w:bCs/>
          <w:iCs/>
          <w:sz w:val="20"/>
          <w:szCs w:val="20"/>
        </w:rPr>
      </w:pPr>
      <w:r w:rsidRPr="0004528F">
        <w:rPr>
          <w:rFonts w:ascii="Verdana" w:hAnsi="Verdana"/>
          <w:bCs/>
          <w:iCs/>
          <w:sz w:val="20"/>
          <w:szCs w:val="20"/>
        </w:rPr>
        <w:t xml:space="preserve">Sensoren als intelligente Datenlieferanten werden neben der klassischen Automatisierungstechnik heute immer mehr über Ethernet-Netzwerke in </w:t>
      </w:r>
      <w:proofErr w:type="spellStart"/>
      <w:r w:rsidRPr="0004528F">
        <w:rPr>
          <w:rFonts w:ascii="Verdana" w:hAnsi="Verdana"/>
          <w:bCs/>
          <w:iCs/>
          <w:sz w:val="20"/>
          <w:szCs w:val="20"/>
        </w:rPr>
        <w:t>IIoT</w:t>
      </w:r>
      <w:proofErr w:type="spellEnd"/>
      <w:r w:rsidRPr="0004528F">
        <w:rPr>
          <w:rFonts w:ascii="Verdana" w:hAnsi="Verdana"/>
          <w:bCs/>
          <w:iCs/>
          <w:sz w:val="20"/>
          <w:szCs w:val="20"/>
        </w:rPr>
        <w:t>-Applikationen eingebunden. Durch die mit SPE einhergehende Miniaturisierung der Anschlusstechnik können auch kleinere und kompakte Sensoren an Ethernet-Netzwerke angeschlossen werden.</w:t>
      </w:r>
    </w:p>
    <w:p w:rsidR="0004528F" w:rsidRPr="0004528F" w:rsidRDefault="0004528F" w:rsidP="00F00CC9">
      <w:pPr>
        <w:spacing w:line="360" w:lineRule="auto"/>
        <w:jc w:val="both"/>
        <w:rPr>
          <w:rFonts w:ascii="Verdana" w:hAnsi="Verdana"/>
          <w:bCs/>
          <w:iCs/>
          <w:sz w:val="20"/>
          <w:szCs w:val="20"/>
        </w:rPr>
      </w:pPr>
      <w:r w:rsidRPr="0004528F">
        <w:rPr>
          <w:rFonts w:ascii="Verdana" w:hAnsi="Verdana"/>
          <w:bCs/>
          <w:iCs/>
          <w:sz w:val="20"/>
          <w:szCs w:val="20"/>
        </w:rPr>
        <w:t xml:space="preserve">Ein weiterer Vorteil ergibt sich durch die Kombination von SPE mit der Energieeinspeisung über die Datenleitungen. Zusätzlichen Steckverbindungen zur Spannungsversorgung können hierbei entfallen. Der Einsatz von SPE als Standardschnittstelle ermöglicht es den Geräteherstellern zudem, ein schlankes Geräteportfolio mit weniger Varianten anzubieten. Sensoren in einer Maschine oder Anlage lassen sich einfacher verkabeln und reduzieren beim Anwender Installationsaufwände.  </w:t>
      </w:r>
    </w:p>
    <w:p w:rsidR="0004528F" w:rsidRPr="0004528F" w:rsidRDefault="0004528F" w:rsidP="00F00CC9">
      <w:pPr>
        <w:spacing w:line="360" w:lineRule="auto"/>
        <w:jc w:val="both"/>
        <w:rPr>
          <w:rFonts w:ascii="Verdana" w:hAnsi="Verdana"/>
          <w:b/>
          <w:bCs/>
          <w:iCs/>
          <w:sz w:val="20"/>
          <w:szCs w:val="20"/>
        </w:rPr>
      </w:pPr>
    </w:p>
    <w:p w:rsidR="0004528F" w:rsidRPr="0004528F" w:rsidRDefault="0004528F" w:rsidP="00F00CC9">
      <w:pPr>
        <w:spacing w:line="360" w:lineRule="auto"/>
        <w:jc w:val="both"/>
        <w:rPr>
          <w:rFonts w:ascii="Verdana" w:hAnsi="Verdana"/>
          <w:bCs/>
          <w:iCs/>
          <w:sz w:val="20"/>
          <w:szCs w:val="20"/>
        </w:rPr>
      </w:pPr>
      <w:r w:rsidRPr="0004528F">
        <w:rPr>
          <w:rFonts w:ascii="Verdana" w:hAnsi="Verdana"/>
          <w:b/>
          <w:bCs/>
          <w:iCs/>
          <w:sz w:val="20"/>
          <w:szCs w:val="20"/>
        </w:rPr>
        <w:t>SPE Kabel und Leitungen</w:t>
      </w:r>
    </w:p>
    <w:p w:rsidR="0004528F" w:rsidRPr="0004528F" w:rsidRDefault="0004528F" w:rsidP="00F00CC9">
      <w:pPr>
        <w:spacing w:line="360" w:lineRule="auto"/>
        <w:jc w:val="both"/>
        <w:rPr>
          <w:rFonts w:ascii="Verdana" w:hAnsi="Verdana"/>
          <w:bCs/>
          <w:iCs/>
          <w:sz w:val="20"/>
          <w:szCs w:val="20"/>
        </w:rPr>
      </w:pPr>
      <w:r w:rsidRPr="0004528F">
        <w:rPr>
          <w:rFonts w:ascii="Verdana" w:hAnsi="Verdana"/>
          <w:bCs/>
          <w:iCs/>
          <w:sz w:val="20"/>
          <w:szCs w:val="20"/>
        </w:rPr>
        <w:t xml:space="preserve">In den Anwendungsbereichen von SPE werden die Übertragungskanäle aus verschiedenen Kabeln und einer unterschiedlichen Anzahl von Steckverbindungen erstellt. Während die Übertragungskanäle mit den Übertragungsparametern wie Bandbreite, Dämpfung, Rückflussdämpfung und Schirmungsmaß in den Systemnormen festgelegt werden (z.B. ISO/IEC Normenreihe 11801), müssen Steckverbinder und Kabel angepasst an den jeweiligen Kanal zugeschnitten werden. </w:t>
      </w:r>
    </w:p>
    <w:p w:rsidR="0004528F" w:rsidRPr="0004528F" w:rsidRDefault="0004528F" w:rsidP="00F00CC9">
      <w:pPr>
        <w:spacing w:line="360" w:lineRule="auto"/>
        <w:jc w:val="both"/>
        <w:rPr>
          <w:rFonts w:ascii="Verdana" w:hAnsi="Verdana"/>
          <w:bCs/>
          <w:iCs/>
          <w:sz w:val="20"/>
          <w:szCs w:val="20"/>
        </w:rPr>
      </w:pPr>
      <w:r w:rsidRPr="0004528F">
        <w:rPr>
          <w:rFonts w:ascii="Verdana" w:hAnsi="Verdana"/>
          <w:bCs/>
          <w:iCs/>
          <w:sz w:val="20"/>
          <w:szCs w:val="20"/>
        </w:rPr>
        <w:t xml:space="preserve">Führend sind hier die Arbeiten im Komitee IEC46C. Kabel mit 20 MHz Bandbreite für die feste Verlegung und Anschlussleitungen passend zu den 10BaseT1-Kanälen sowie Kabel mit 600 MHz Bandbreite für 100BaseT1 und 1000BaseT1 stehen zur Verfügung (Normenreihe IEC 61156-11 und folgende). </w:t>
      </w:r>
    </w:p>
    <w:p w:rsidR="0004528F" w:rsidRPr="0004528F" w:rsidRDefault="0004528F" w:rsidP="00F00CC9">
      <w:pPr>
        <w:spacing w:line="360" w:lineRule="auto"/>
        <w:jc w:val="both"/>
        <w:rPr>
          <w:rFonts w:ascii="Verdana" w:hAnsi="Verdana"/>
          <w:bCs/>
          <w:iCs/>
          <w:sz w:val="20"/>
          <w:szCs w:val="20"/>
        </w:rPr>
      </w:pPr>
      <w:r w:rsidRPr="0004528F">
        <w:rPr>
          <w:rFonts w:ascii="Verdana" w:hAnsi="Verdana"/>
          <w:bCs/>
          <w:iCs/>
          <w:sz w:val="20"/>
          <w:szCs w:val="20"/>
        </w:rPr>
        <w:t xml:space="preserve">Ein Vorteil von SPE ist die gleichzeitige Übertragung von Signalen und von Leistung auf der 1-paarigen Leitung, etwa vom Switch zum Sensor. In der Gebäudeverkabelung als </w:t>
      </w:r>
      <w:proofErr w:type="spellStart"/>
      <w:r w:rsidRPr="0004528F">
        <w:rPr>
          <w:rFonts w:ascii="Verdana" w:hAnsi="Verdana"/>
          <w:bCs/>
          <w:iCs/>
          <w:sz w:val="20"/>
          <w:szCs w:val="20"/>
        </w:rPr>
        <w:t>PoE</w:t>
      </w:r>
      <w:proofErr w:type="spellEnd"/>
      <w:r w:rsidRPr="0004528F">
        <w:rPr>
          <w:rFonts w:ascii="Verdana" w:hAnsi="Verdana"/>
          <w:bCs/>
          <w:iCs/>
          <w:sz w:val="20"/>
          <w:szCs w:val="20"/>
        </w:rPr>
        <w:t xml:space="preserve"> bekannt wird </w:t>
      </w:r>
      <w:r w:rsidRPr="0004528F">
        <w:rPr>
          <w:rFonts w:ascii="Verdana" w:hAnsi="Verdana"/>
          <w:bCs/>
          <w:iCs/>
          <w:sz w:val="20"/>
          <w:szCs w:val="20"/>
        </w:rPr>
        <w:lastRenderedPageBreak/>
        <w:t xml:space="preserve">bei SPE die 1-paarige Leitung als </w:t>
      </w:r>
      <w:proofErr w:type="spellStart"/>
      <w:r w:rsidRPr="0004528F">
        <w:rPr>
          <w:rFonts w:ascii="Verdana" w:hAnsi="Verdana"/>
          <w:bCs/>
          <w:iCs/>
          <w:sz w:val="20"/>
          <w:szCs w:val="20"/>
        </w:rPr>
        <w:t>PoDL</w:t>
      </w:r>
      <w:proofErr w:type="spellEnd"/>
      <w:r w:rsidRPr="0004528F">
        <w:rPr>
          <w:rFonts w:ascii="Verdana" w:hAnsi="Verdana"/>
          <w:bCs/>
          <w:iCs/>
          <w:sz w:val="20"/>
          <w:szCs w:val="20"/>
        </w:rPr>
        <w:t xml:space="preserve"> (Power </w:t>
      </w:r>
      <w:proofErr w:type="spellStart"/>
      <w:r w:rsidRPr="0004528F">
        <w:rPr>
          <w:rFonts w:ascii="Verdana" w:hAnsi="Verdana"/>
          <w:bCs/>
          <w:iCs/>
          <w:sz w:val="20"/>
          <w:szCs w:val="20"/>
        </w:rPr>
        <w:t>over</w:t>
      </w:r>
      <w:proofErr w:type="spellEnd"/>
      <w:r w:rsidRPr="0004528F">
        <w:rPr>
          <w:rFonts w:ascii="Verdana" w:hAnsi="Verdana"/>
          <w:bCs/>
          <w:iCs/>
          <w:sz w:val="20"/>
          <w:szCs w:val="20"/>
        </w:rPr>
        <w:t xml:space="preserve"> Data Line) benannt. Abgestimmt auf die Querschnitte und Kanallängen sind mit </w:t>
      </w:r>
      <w:proofErr w:type="spellStart"/>
      <w:r w:rsidRPr="0004528F">
        <w:rPr>
          <w:rFonts w:ascii="Verdana" w:hAnsi="Verdana"/>
          <w:bCs/>
          <w:iCs/>
          <w:sz w:val="20"/>
          <w:szCs w:val="20"/>
        </w:rPr>
        <w:t>PoDL</w:t>
      </w:r>
      <w:proofErr w:type="spellEnd"/>
      <w:r w:rsidRPr="0004528F">
        <w:rPr>
          <w:rFonts w:ascii="Verdana" w:hAnsi="Verdana"/>
          <w:bCs/>
          <w:iCs/>
          <w:sz w:val="20"/>
          <w:szCs w:val="20"/>
        </w:rPr>
        <w:t xml:space="preserve"> Leistungen bis ca. 15W übertragbar. </w:t>
      </w:r>
    </w:p>
    <w:p w:rsidR="0004528F" w:rsidRPr="0004528F" w:rsidRDefault="0004528F" w:rsidP="00F00CC9">
      <w:pPr>
        <w:spacing w:line="360" w:lineRule="auto"/>
        <w:jc w:val="both"/>
        <w:rPr>
          <w:rFonts w:ascii="Verdana" w:hAnsi="Verdana"/>
          <w:bCs/>
          <w:iCs/>
          <w:sz w:val="20"/>
          <w:szCs w:val="20"/>
        </w:rPr>
      </w:pPr>
      <w:r w:rsidRPr="0004528F">
        <w:rPr>
          <w:rFonts w:ascii="Verdana" w:hAnsi="Verdana"/>
          <w:bCs/>
          <w:iCs/>
          <w:sz w:val="20"/>
          <w:szCs w:val="20"/>
        </w:rPr>
        <w:t>Aus den unterschiedlichen Umgebungsbedingungen in der Industrie und im Gebäude ergeben sich Anforderungen an die mechanische, chemische, thermische, brandtechnische oder auch elektromagnetische Widerstandsfähigkeit. D</w:t>
      </w:r>
      <w:r w:rsidR="006675B8">
        <w:rPr>
          <w:rFonts w:ascii="Verdana" w:hAnsi="Verdana"/>
          <w:bCs/>
          <w:iCs/>
          <w:sz w:val="20"/>
          <w:szCs w:val="20"/>
        </w:rPr>
        <w:t>ä</w:t>
      </w:r>
      <w:r w:rsidRPr="0004528F">
        <w:rPr>
          <w:rFonts w:ascii="Verdana" w:hAnsi="Verdana"/>
          <w:bCs/>
          <w:iCs/>
          <w:sz w:val="20"/>
          <w:szCs w:val="20"/>
        </w:rPr>
        <w:t xml:space="preserve">twyler und </w:t>
      </w:r>
      <w:r w:rsidR="006675B8">
        <w:rPr>
          <w:rFonts w:ascii="Verdana" w:hAnsi="Verdana"/>
          <w:bCs/>
          <w:iCs/>
          <w:sz w:val="20"/>
          <w:szCs w:val="20"/>
        </w:rPr>
        <w:t xml:space="preserve">MMS der </w:t>
      </w:r>
      <w:proofErr w:type="spellStart"/>
      <w:r w:rsidRPr="0004528F">
        <w:rPr>
          <w:rFonts w:ascii="Verdana" w:hAnsi="Verdana"/>
          <w:bCs/>
          <w:iCs/>
          <w:sz w:val="20"/>
          <w:szCs w:val="20"/>
        </w:rPr>
        <w:t>Prysmian</w:t>
      </w:r>
      <w:proofErr w:type="spellEnd"/>
      <w:r w:rsidRPr="0004528F">
        <w:rPr>
          <w:rFonts w:ascii="Verdana" w:hAnsi="Verdana"/>
          <w:bCs/>
          <w:iCs/>
          <w:sz w:val="20"/>
          <w:szCs w:val="20"/>
        </w:rPr>
        <w:t xml:space="preserve"> Group sind hier die Systempartner, die ihre Erfahrungen einbringen. </w:t>
      </w:r>
    </w:p>
    <w:p w:rsidR="0004528F" w:rsidRPr="0004528F" w:rsidRDefault="0004528F" w:rsidP="00F00CC9">
      <w:pPr>
        <w:spacing w:line="360" w:lineRule="auto"/>
        <w:jc w:val="both"/>
        <w:rPr>
          <w:rFonts w:ascii="Verdana" w:hAnsi="Verdana"/>
          <w:bCs/>
          <w:iCs/>
          <w:sz w:val="20"/>
          <w:szCs w:val="20"/>
        </w:rPr>
      </w:pPr>
    </w:p>
    <w:p w:rsidR="0004528F" w:rsidRPr="0004528F" w:rsidRDefault="0004528F" w:rsidP="00F00CC9">
      <w:pPr>
        <w:spacing w:line="360" w:lineRule="auto"/>
        <w:jc w:val="both"/>
        <w:rPr>
          <w:rFonts w:ascii="Verdana" w:hAnsi="Verdana"/>
          <w:b/>
          <w:bCs/>
          <w:iCs/>
          <w:sz w:val="20"/>
          <w:szCs w:val="20"/>
        </w:rPr>
      </w:pPr>
      <w:r w:rsidRPr="0004528F">
        <w:rPr>
          <w:rFonts w:ascii="Verdana" w:hAnsi="Verdana"/>
          <w:b/>
          <w:bCs/>
          <w:iCs/>
          <w:sz w:val="20"/>
          <w:szCs w:val="20"/>
        </w:rPr>
        <w:t>Online-Bildung für SPE</w:t>
      </w:r>
    </w:p>
    <w:p w:rsidR="0004528F" w:rsidRPr="0004528F" w:rsidRDefault="0004528F" w:rsidP="00F00CC9">
      <w:pPr>
        <w:spacing w:line="360" w:lineRule="auto"/>
        <w:jc w:val="both"/>
        <w:rPr>
          <w:rFonts w:ascii="Verdana" w:hAnsi="Verdana"/>
          <w:bCs/>
          <w:iCs/>
          <w:sz w:val="20"/>
          <w:szCs w:val="20"/>
        </w:rPr>
      </w:pPr>
      <w:r w:rsidRPr="0004528F">
        <w:rPr>
          <w:rFonts w:ascii="Verdana" w:hAnsi="Verdana"/>
          <w:bCs/>
          <w:iCs/>
          <w:sz w:val="20"/>
          <w:szCs w:val="20"/>
        </w:rPr>
        <w:t xml:space="preserve">Ethernet allgemein und SPE im Besonderen spielen eine zentrale Rolle für die Etablierung des Industrial Internet of Things. Häufig wird bei der Einführung einer solchen Technologie jedoch der Weiterbildungsbedarf der Mitarbeiter nicht berücksichtigt. Hier hilft University4Industry mit Online-Lerninhalten aus verschiedenen Bereichen des </w:t>
      </w:r>
      <w:proofErr w:type="spellStart"/>
      <w:r w:rsidRPr="0004528F">
        <w:rPr>
          <w:rFonts w:ascii="Verdana" w:hAnsi="Verdana"/>
          <w:bCs/>
          <w:iCs/>
          <w:sz w:val="20"/>
          <w:szCs w:val="20"/>
        </w:rPr>
        <w:t>IIoT</w:t>
      </w:r>
      <w:proofErr w:type="spellEnd"/>
      <w:r w:rsidRPr="0004528F">
        <w:rPr>
          <w:rFonts w:ascii="Verdana" w:hAnsi="Verdana"/>
          <w:bCs/>
          <w:iCs/>
          <w:sz w:val="20"/>
          <w:szCs w:val="20"/>
        </w:rPr>
        <w:t xml:space="preserve"> weiter, z.B. zum Thema Ethernet-APL.</w:t>
      </w:r>
    </w:p>
    <w:p w:rsidR="0004528F" w:rsidRPr="0004528F" w:rsidRDefault="0004528F" w:rsidP="00F00CC9">
      <w:pPr>
        <w:spacing w:line="360" w:lineRule="auto"/>
        <w:jc w:val="both"/>
        <w:rPr>
          <w:rFonts w:ascii="Verdana" w:hAnsi="Verdana"/>
          <w:bCs/>
          <w:iCs/>
          <w:sz w:val="20"/>
          <w:szCs w:val="20"/>
        </w:rPr>
      </w:pPr>
    </w:p>
    <w:p w:rsidR="0029455E" w:rsidRDefault="0029455E" w:rsidP="0029455E">
      <w:pPr>
        <w:ind w:right="395"/>
        <w:rPr>
          <w:rFonts w:ascii="Verdana" w:hAnsi="Verdana"/>
          <w:b/>
          <w:bCs/>
          <w:sz w:val="16"/>
          <w:szCs w:val="16"/>
        </w:rPr>
      </w:pPr>
      <w:proofErr w:type="spellStart"/>
      <w:r>
        <w:rPr>
          <w:rFonts w:ascii="Verdana" w:hAnsi="Verdana"/>
          <w:b/>
          <w:bCs/>
          <w:sz w:val="16"/>
          <w:szCs w:val="16"/>
        </w:rPr>
        <w:t>Prysmian</w:t>
      </w:r>
      <w:proofErr w:type="spellEnd"/>
      <w:r>
        <w:rPr>
          <w:rFonts w:ascii="Verdana" w:hAnsi="Verdana"/>
          <w:b/>
          <w:bCs/>
          <w:sz w:val="16"/>
          <w:szCs w:val="16"/>
        </w:rPr>
        <w:t xml:space="preserve"> Group</w:t>
      </w:r>
    </w:p>
    <w:p w:rsidR="00E435AC" w:rsidRPr="00E435AC" w:rsidRDefault="00E435AC" w:rsidP="00E435AC">
      <w:pPr>
        <w:jc w:val="both"/>
        <w:rPr>
          <w:rFonts w:ascii="Verdana" w:eastAsia="Cambria" w:hAnsi="Verdana" w:cs="Tahoma"/>
          <w:sz w:val="16"/>
          <w:szCs w:val="16"/>
          <w:lang w:eastAsia="en-US"/>
        </w:rPr>
      </w:pPr>
      <w:r w:rsidRPr="00E435AC">
        <w:rPr>
          <w:rFonts w:ascii="Verdana" w:eastAsia="Cambria" w:hAnsi="Verdana" w:cs="Tahoma"/>
          <w:sz w:val="16"/>
          <w:szCs w:val="16"/>
          <w:lang w:eastAsia="en-US"/>
        </w:rPr>
        <w:t xml:space="preserve">Die </w:t>
      </w:r>
      <w:proofErr w:type="spellStart"/>
      <w:r w:rsidRPr="00E435AC">
        <w:rPr>
          <w:rFonts w:ascii="Verdana" w:eastAsia="Cambria" w:hAnsi="Verdana" w:cs="Tahoma"/>
          <w:sz w:val="16"/>
          <w:szCs w:val="16"/>
          <w:lang w:eastAsia="en-US"/>
        </w:rPr>
        <w:t>Prysmian</w:t>
      </w:r>
      <w:proofErr w:type="spellEnd"/>
      <w:r w:rsidRPr="00E435AC">
        <w:rPr>
          <w:rFonts w:ascii="Verdana" w:eastAsia="Cambria" w:hAnsi="Verdana" w:cs="Tahoma"/>
          <w:sz w:val="16"/>
          <w:szCs w:val="16"/>
          <w:lang w:eastAsia="en-US"/>
        </w:rPr>
        <w:t xml:space="preserve"> Group ist ein Weltmarktführer für Energie- und Telekomkabelsysteme. Mit ihren fast 140 Jahren Erfahrung, einem Umsatz von über EUR 11 Mrd., ca. 29.000 Mitarbeitern in über 50 Ländern und 112 Werken, ist die Gruppe stark in High-Tech Märkten positioniert und bietet das größtmögliche Spektrum an Produkten, Dienstleistungen, Technologien und Wissen. Sie agiert in Geschäftsfeldern der Untertage- und Unterwasserkabel und Systemen zur Energieübertragung und -verteilung, mit Spezialkabeln für Anwendungen in vielen unterschiedlichen Industrien und Kabeln für mittlere und niedrige Spannung für den Bau- und Infrastruktursektoren. Für den Bereich der Telekommunikation fertigt die Gruppe Kabel und Zubehör für Stimm-, Video- und Datenübertragung und bietet ein umfassendes Spektrum an Glasfaserkabeln, Lichtwellenleitern und Kupferkabeln sowie Anschlusssystemen. </w:t>
      </w:r>
      <w:proofErr w:type="spellStart"/>
      <w:r w:rsidRPr="00E435AC">
        <w:rPr>
          <w:rFonts w:ascii="Verdana" w:eastAsia="Cambria" w:hAnsi="Verdana" w:cs="Tahoma"/>
          <w:sz w:val="16"/>
          <w:szCs w:val="16"/>
          <w:lang w:eastAsia="en-US"/>
        </w:rPr>
        <w:t>Prysmian</w:t>
      </w:r>
      <w:proofErr w:type="spellEnd"/>
      <w:r w:rsidRPr="00E435AC">
        <w:rPr>
          <w:rFonts w:ascii="Verdana" w:eastAsia="Cambria" w:hAnsi="Verdana" w:cs="Tahoma"/>
          <w:sz w:val="16"/>
          <w:szCs w:val="16"/>
          <w:lang w:eastAsia="en-US"/>
        </w:rPr>
        <w:t xml:space="preserve"> ist eine Aktiengesellschaft, die in der italienischen Börse, dem FTSE MIB Index, gelistet ist. </w:t>
      </w:r>
    </w:p>
    <w:p w:rsidR="0029455E" w:rsidRDefault="0029455E" w:rsidP="0029455E">
      <w:pPr>
        <w:spacing w:line="360" w:lineRule="auto"/>
        <w:jc w:val="both"/>
        <w:rPr>
          <w:rStyle w:val="Hyperlink"/>
          <w:rFonts w:ascii="Verdana" w:hAnsi="Verdana" w:cs="Arial"/>
        </w:rPr>
      </w:pPr>
      <w:r>
        <w:rPr>
          <w:rStyle w:val="Fett"/>
          <w:rFonts w:ascii="Verdana" w:hAnsi="Verdana" w:cs="Tahoma"/>
          <w:sz w:val="16"/>
          <w:szCs w:val="16"/>
        </w:rPr>
        <w:t xml:space="preserve">Weitere Informationen: </w:t>
      </w:r>
      <w:hyperlink r:id="rId9" w:history="1">
        <w:r>
          <w:rPr>
            <w:rStyle w:val="Hyperlink"/>
            <w:rFonts w:ascii="Verdana" w:hAnsi="Verdana" w:cs="Arial"/>
            <w:sz w:val="16"/>
            <w:szCs w:val="16"/>
          </w:rPr>
          <w:t>http://www.prysmiangroup.com</w:t>
        </w:r>
      </w:hyperlink>
    </w:p>
    <w:p w:rsidR="0029455E" w:rsidRDefault="0029455E" w:rsidP="0029455E">
      <w:pPr>
        <w:jc w:val="both"/>
        <w:rPr>
          <w:rFonts w:cs="Times New Roman"/>
        </w:rPr>
      </w:pPr>
    </w:p>
    <w:p w:rsidR="0029455E" w:rsidRDefault="0029455E" w:rsidP="0029455E">
      <w:pPr>
        <w:rPr>
          <w:rFonts w:ascii="Verdana" w:hAnsi="Verdana"/>
          <w:sz w:val="16"/>
          <w:szCs w:val="16"/>
        </w:rPr>
      </w:pPr>
      <w:r>
        <w:rPr>
          <w:rFonts w:ascii="Verdana" w:hAnsi="Verdana"/>
          <w:b/>
          <w:bCs/>
          <w:sz w:val="16"/>
          <w:szCs w:val="16"/>
        </w:rPr>
        <w:t>Unternehmenskontakt</w:t>
      </w:r>
      <w:r>
        <w:rPr>
          <w:rFonts w:ascii="Verdana" w:hAnsi="Verdana"/>
          <w:b/>
          <w:bCs/>
          <w:sz w:val="16"/>
          <w:szCs w:val="16"/>
        </w:rPr>
        <w:br/>
      </w:r>
      <w:proofErr w:type="spellStart"/>
      <w:r>
        <w:rPr>
          <w:rFonts w:ascii="Verdana" w:hAnsi="Verdana"/>
          <w:sz w:val="16"/>
          <w:szCs w:val="16"/>
        </w:rPr>
        <w:t>Draka</w:t>
      </w:r>
      <w:proofErr w:type="spellEnd"/>
      <w:r>
        <w:rPr>
          <w:rFonts w:ascii="Verdana" w:hAnsi="Verdana"/>
          <w:sz w:val="16"/>
          <w:szCs w:val="16"/>
        </w:rPr>
        <w:t xml:space="preserve"> </w:t>
      </w:r>
      <w:proofErr w:type="spellStart"/>
      <w:r>
        <w:rPr>
          <w:rFonts w:ascii="Verdana" w:hAnsi="Verdana"/>
          <w:sz w:val="16"/>
          <w:szCs w:val="16"/>
        </w:rPr>
        <w:t>Comteq</w:t>
      </w:r>
      <w:proofErr w:type="spellEnd"/>
      <w:r>
        <w:rPr>
          <w:rFonts w:ascii="Verdana" w:hAnsi="Verdana"/>
          <w:sz w:val="16"/>
          <w:szCs w:val="16"/>
        </w:rPr>
        <w:t xml:space="preserve"> Germany GmbH &amp; Co KG., </w:t>
      </w:r>
      <w:r w:rsidR="00460DA9">
        <w:rPr>
          <w:rFonts w:ascii="Verdana" w:hAnsi="Verdana"/>
          <w:sz w:val="16"/>
          <w:szCs w:val="16"/>
        </w:rPr>
        <w:t xml:space="preserve">Nicole Hentschel, </w:t>
      </w:r>
      <w:proofErr w:type="spellStart"/>
      <w:r>
        <w:rPr>
          <w:rFonts w:ascii="Verdana" w:hAnsi="Verdana"/>
          <w:sz w:val="16"/>
          <w:szCs w:val="16"/>
        </w:rPr>
        <w:t>Piccoloministraße</w:t>
      </w:r>
      <w:proofErr w:type="spellEnd"/>
      <w:r>
        <w:rPr>
          <w:rFonts w:ascii="Verdana" w:hAnsi="Verdana"/>
          <w:sz w:val="16"/>
          <w:szCs w:val="16"/>
        </w:rPr>
        <w:t xml:space="preserve"> 2, 51063 Köln, Tel. +49 (0)221 6770, </w:t>
      </w:r>
      <w:hyperlink r:id="rId10" w:history="1">
        <w:r>
          <w:rPr>
            <w:rStyle w:val="Hyperlink"/>
            <w:rFonts w:ascii="Verdana" w:hAnsi="Verdana" w:cs="font293"/>
            <w:sz w:val="16"/>
            <w:szCs w:val="16"/>
          </w:rPr>
          <w:t>www.prysmiangroup.com</w:t>
        </w:r>
      </w:hyperlink>
      <w:r>
        <w:rPr>
          <w:rFonts w:ascii="Verdana" w:hAnsi="Verdana"/>
          <w:sz w:val="16"/>
          <w:szCs w:val="16"/>
        </w:rPr>
        <w:t xml:space="preserve"> </w:t>
      </w:r>
    </w:p>
    <w:p w:rsidR="0029455E" w:rsidRDefault="0029455E" w:rsidP="0029455E">
      <w:pPr>
        <w:jc w:val="both"/>
        <w:rPr>
          <w:rFonts w:ascii="Verdana" w:hAnsi="Verdana" w:cs="Times New Roman"/>
          <w:sz w:val="16"/>
        </w:rPr>
      </w:pPr>
    </w:p>
    <w:p w:rsidR="0029455E" w:rsidRDefault="0029455E" w:rsidP="0029455E">
      <w:pPr>
        <w:rPr>
          <w:rFonts w:ascii="Verdana" w:hAnsi="Verdana"/>
          <w:b/>
          <w:bCs/>
          <w:sz w:val="16"/>
          <w:szCs w:val="16"/>
        </w:rPr>
      </w:pPr>
      <w:r>
        <w:rPr>
          <w:rFonts w:ascii="Verdana" w:hAnsi="Verdana"/>
          <w:b/>
          <w:bCs/>
          <w:sz w:val="16"/>
          <w:szCs w:val="16"/>
        </w:rPr>
        <w:t xml:space="preserve">Pressekontakt </w:t>
      </w:r>
    </w:p>
    <w:p w:rsidR="0029455E" w:rsidRDefault="0029455E" w:rsidP="0029455E">
      <w:pPr>
        <w:rPr>
          <w:rFonts w:ascii="Verdana" w:hAnsi="Verdana"/>
          <w:sz w:val="16"/>
        </w:rPr>
      </w:pPr>
      <w:r>
        <w:rPr>
          <w:rFonts w:ascii="Verdana" w:hAnsi="Verdana"/>
          <w:sz w:val="16"/>
          <w:szCs w:val="16"/>
        </w:rPr>
        <w:t xml:space="preserve">epr - elsaesser public relations, Maximilianstraße 50, 86150 Augsburg, Sabine Hensold, Tel: +49 821 4508 7917, </w:t>
      </w:r>
      <w:hyperlink r:id="rId11" w:history="1">
        <w:r>
          <w:rPr>
            <w:rStyle w:val="Hyperlink"/>
            <w:rFonts w:ascii="Verdana" w:hAnsi="Verdana"/>
            <w:sz w:val="16"/>
          </w:rPr>
          <w:t>sh@epr-online.de</w:t>
        </w:r>
      </w:hyperlink>
      <w:r>
        <w:rPr>
          <w:rFonts w:ascii="Verdana" w:hAnsi="Verdana"/>
          <w:sz w:val="16"/>
          <w:szCs w:val="16"/>
        </w:rPr>
        <w:t xml:space="preserve">, Frauke Schütz, Tel: +49 821 4508 7916, </w:t>
      </w:r>
      <w:hyperlink r:id="rId12" w:history="1">
        <w:r>
          <w:rPr>
            <w:rStyle w:val="Hyperlink"/>
            <w:rFonts w:ascii="Verdana" w:hAnsi="Verdana"/>
            <w:sz w:val="16"/>
          </w:rPr>
          <w:t>fs@epr-online.de</w:t>
        </w:r>
      </w:hyperlink>
      <w:r>
        <w:rPr>
          <w:rFonts w:ascii="Verdana" w:hAnsi="Verdana"/>
          <w:sz w:val="16"/>
          <w:szCs w:val="16"/>
        </w:rPr>
        <w:t xml:space="preserve">, </w:t>
      </w:r>
      <w:hyperlink r:id="rId13" w:history="1">
        <w:r>
          <w:rPr>
            <w:rStyle w:val="Hyperlink"/>
            <w:rFonts w:ascii="Verdana" w:hAnsi="Verdana"/>
            <w:sz w:val="16"/>
          </w:rPr>
          <w:t>www.epr-online.de</w:t>
        </w:r>
      </w:hyperlink>
    </w:p>
    <w:p w:rsidR="007049C4" w:rsidRPr="0029455E" w:rsidRDefault="007049C4" w:rsidP="0029455E"/>
    <w:sectPr w:rsidR="007049C4" w:rsidRPr="0029455E" w:rsidSect="006675B8">
      <w:headerReference w:type="first" r:id="rId14"/>
      <w:footerReference w:type="first" r:id="rId15"/>
      <w:pgSz w:w="11900" w:h="16840"/>
      <w:pgMar w:top="2268" w:right="985" w:bottom="993" w:left="1134" w:header="709" w:footer="709"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E315E" w:rsidRDefault="006E315E">
      <w:pPr>
        <w:rPr>
          <w:rFonts w:cs="Times New Roman"/>
        </w:rPr>
      </w:pPr>
      <w:r>
        <w:rPr>
          <w:rFonts w:cs="Times New Roman"/>
        </w:rPr>
        <w:separator/>
      </w:r>
    </w:p>
  </w:endnote>
  <w:endnote w:type="continuationSeparator" w:id="0">
    <w:p w:rsidR="006E315E" w:rsidRDefault="006E315E">
      <w:pPr>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w:altName w:val="Courier New"/>
    <w:panose1 w:val="02070409020205020404"/>
    <w:charset w:val="00"/>
    <w:family w:val="modern"/>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ont293">
    <w:altName w:val="Times New Roman"/>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D1E81" w:rsidRDefault="000504F4">
    <w:pPr>
      <w:pStyle w:val="Fuzeile"/>
      <w:jc w:val="both"/>
      <w:rPr>
        <w:rFonts w:ascii="Verdana" w:hAnsi="Verdana" w:cs="Times New Roman"/>
        <w:i/>
        <w:color w:val="808080"/>
        <w:sz w:val="16"/>
      </w:rPr>
    </w:pPr>
    <w:r>
      <w:rPr>
        <w:rFonts w:ascii="Verdana" w:hAnsi="Verdana" w:cs="Times New Roman"/>
        <w:i/>
        <w:color w:val="808080"/>
        <w:sz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E315E" w:rsidRDefault="006E315E">
      <w:pPr>
        <w:rPr>
          <w:rFonts w:cs="Times New Roman"/>
        </w:rPr>
      </w:pPr>
      <w:bookmarkStart w:id="0" w:name="_Hlk38281194"/>
      <w:bookmarkEnd w:id="0"/>
      <w:r>
        <w:rPr>
          <w:rFonts w:cs="Times New Roman"/>
        </w:rPr>
        <w:separator/>
      </w:r>
    </w:p>
  </w:footnote>
  <w:footnote w:type="continuationSeparator" w:id="0">
    <w:p w:rsidR="006E315E" w:rsidRDefault="006E315E">
      <w:pPr>
        <w:rPr>
          <w:rFonts w:cs="Times New Roman"/>
        </w:rPr>
      </w:pPr>
      <w:r>
        <w:rPr>
          <w:rFonts w:cs="Times New Roman"/>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5925" w:rsidRDefault="00075925">
    <w:pPr>
      <w:pStyle w:val="Kopfzeile"/>
      <w:rPr>
        <w:rFonts w:ascii="Verdana" w:hAnsi="Verdana" w:cs="Times New Roman"/>
        <w:b/>
        <w:smallCaps/>
      </w:rPr>
    </w:pPr>
    <w:r>
      <w:rPr>
        <w:rFonts w:ascii="Verdana" w:hAnsi="Verdana" w:cs="Times New Roman"/>
        <w:b/>
        <w:smallCaps/>
        <w:noProof/>
        <w:lang w:val="it-IT" w:eastAsia="it-IT"/>
      </w:rPr>
      <w:drawing>
        <wp:inline distT="0" distB="0" distL="0" distR="0" wp14:anchorId="7C3659B3" wp14:editId="4C1C17E5">
          <wp:extent cx="6210935" cy="597811"/>
          <wp:effectExtent l="0" t="0" r="0" b="0"/>
          <wp:docPr id="11"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10935" cy="597811"/>
                  </a:xfrm>
                  <a:prstGeom prst="rect">
                    <a:avLst/>
                  </a:prstGeom>
                  <a:noFill/>
                  <a:ln>
                    <a:noFill/>
                  </a:ln>
                </pic:spPr>
              </pic:pic>
            </a:graphicData>
          </a:graphic>
        </wp:inline>
      </w:drawing>
    </w:r>
  </w:p>
  <w:p w:rsidR="00075925" w:rsidRDefault="00EE5032" w:rsidP="00EE5032">
    <w:pPr>
      <w:pStyle w:val="Kopfzeile"/>
      <w:jc w:val="both"/>
      <w:rPr>
        <w:rFonts w:ascii="Verdana" w:hAnsi="Verdana" w:cs="Times New Roman"/>
        <w:b/>
        <w:smallCaps/>
      </w:rPr>
    </w:pPr>
    <w:r>
      <w:rPr>
        <w:rFonts w:ascii="Verdana" w:hAnsi="Verdana" w:cs="Times New Roman"/>
        <w:b/>
        <w:smallCaps/>
        <w:noProof/>
      </w:rPr>
      <w:drawing>
        <wp:inline distT="0" distB="0" distL="0" distR="0" wp14:anchorId="35BCE1A1" wp14:editId="2A28B83A">
          <wp:extent cx="1801374" cy="890019"/>
          <wp:effectExtent l="0" t="0" r="8890" b="571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PE_Logo_FINAL_zweizeilig (002).tif"/>
                  <pic:cNvPicPr/>
                </pic:nvPicPr>
                <pic:blipFill>
                  <a:blip r:embed="rId2"/>
                  <a:stretch>
                    <a:fillRect/>
                  </a:stretch>
                </pic:blipFill>
                <pic:spPr>
                  <a:xfrm>
                    <a:off x="0" y="0"/>
                    <a:ext cx="1801374" cy="890019"/>
                  </a:xfrm>
                  <a:prstGeom prst="rect">
                    <a:avLst/>
                  </a:prstGeom>
                </pic:spPr>
              </pic:pic>
            </a:graphicData>
          </a:graphic>
        </wp:inline>
      </w:drawing>
    </w:r>
  </w:p>
  <w:p w:rsidR="008D1E81" w:rsidRDefault="000504F4">
    <w:pPr>
      <w:pStyle w:val="Kopfzeile"/>
      <w:tabs>
        <w:tab w:val="clear" w:pos="4819"/>
        <w:tab w:val="clear" w:pos="9638"/>
        <w:tab w:val="left" w:pos="5244"/>
        <w:tab w:val="left" w:pos="8565"/>
      </w:tabs>
      <w:rPr>
        <w:rFonts w:ascii="Verdana" w:hAnsi="Verdana" w:cs="Times New Roman"/>
        <w:b/>
        <w:smallCaps/>
        <w:color w:val="808080"/>
        <w:sz w:val="18"/>
      </w:rPr>
    </w:pPr>
    <w:r>
      <w:rPr>
        <w:rFonts w:ascii="Verdana" w:hAnsi="Verdana" w:cs="Times New Roman"/>
        <w:b/>
        <w:smallCaps/>
      </w:rPr>
      <w:tab/>
    </w:r>
  </w:p>
  <w:p w:rsidR="008D1E81" w:rsidRPr="001D252E" w:rsidRDefault="00663D07" w:rsidP="001D252E">
    <w:pPr>
      <w:tabs>
        <w:tab w:val="left" w:pos="3820"/>
        <w:tab w:val="center" w:pos="5099"/>
      </w:tabs>
      <w:rPr>
        <w:rFonts w:ascii="Verdana" w:hAnsi="Verdana" w:cs="Times New Roman"/>
        <w:b/>
        <w:smallCaps/>
        <w:color w:val="365F91" w:themeColor="accent1" w:themeShade="BF"/>
      </w:rPr>
    </w:pPr>
    <w:r>
      <w:rPr>
        <w:rFonts w:ascii="Verdana" w:hAnsi="Verdana" w:cs="Times New Roman"/>
        <w:b/>
        <w:smallCaps/>
        <w:noProof/>
        <w:color w:val="365F91" w:themeColor="accent1" w:themeShade="BF"/>
      </w:rPr>
      <w:t>Pressemitteilung</w:t>
    </w:r>
  </w:p>
  <w:p w:rsidR="008D1E81" w:rsidRPr="003650C1" w:rsidRDefault="00907CAD" w:rsidP="00907CAD">
    <w:pPr>
      <w:tabs>
        <w:tab w:val="left" w:pos="3210"/>
      </w:tabs>
      <w:ind w:left="-284"/>
      <w:rPr>
        <w:rFonts w:ascii="Verdana" w:hAnsi="Verdana" w:cs="Times New Roman"/>
        <w:b/>
        <w:smallCaps/>
        <w:color w:val="808080" w:themeColor="background1" w:themeShade="80"/>
        <w:sz w:val="18"/>
      </w:rPr>
    </w:pPr>
    <w:r>
      <w:rPr>
        <w:rFonts w:ascii="Verdana" w:hAnsi="Verdana" w:cs="Times New Roman"/>
        <w:b/>
        <w:smallCaps/>
        <w:color w:val="808080" w:themeColor="background1" w:themeShade="80"/>
        <w:sz w:val="18"/>
      </w:rPr>
      <w:tab/>
    </w:r>
  </w:p>
  <w:p w:rsidR="008D1E81" w:rsidRDefault="008D1E81">
    <w:pPr>
      <w:ind w:left="-284"/>
      <w:rPr>
        <w:rFonts w:ascii="Verdana" w:hAnsi="Verdana" w:cs="Times New Roman"/>
        <w:b/>
        <w:smallCaps/>
        <w:sz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F4091"/>
    <w:multiLevelType w:val="multilevel"/>
    <w:tmpl w:val="69D46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E3047B5"/>
    <w:multiLevelType w:val="hybridMultilevel"/>
    <w:tmpl w:val="3E64FAB2"/>
    <w:lvl w:ilvl="0" w:tplc="3D22965C">
      <w:start w:val="1"/>
      <w:numFmt w:val="bullet"/>
      <w:lvlText w:val="•"/>
      <w:lvlJc w:val="left"/>
      <w:pPr>
        <w:tabs>
          <w:tab w:val="num" w:pos="720"/>
        </w:tabs>
        <w:ind w:left="720" w:hanging="360"/>
      </w:pPr>
      <w:rPr>
        <w:rFonts w:ascii="Arial" w:hAnsi="Arial" w:hint="default"/>
      </w:rPr>
    </w:lvl>
    <w:lvl w:ilvl="1" w:tplc="CDA257A0" w:tentative="1">
      <w:start w:val="1"/>
      <w:numFmt w:val="bullet"/>
      <w:lvlText w:val="•"/>
      <w:lvlJc w:val="left"/>
      <w:pPr>
        <w:tabs>
          <w:tab w:val="num" w:pos="1440"/>
        </w:tabs>
        <w:ind w:left="1440" w:hanging="360"/>
      </w:pPr>
      <w:rPr>
        <w:rFonts w:ascii="Arial" w:hAnsi="Arial" w:hint="default"/>
      </w:rPr>
    </w:lvl>
    <w:lvl w:ilvl="2" w:tplc="261C56DE" w:tentative="1">
      <w:start w:val="1"/>
      <w:numFmt w:val="bullet"/>
      <w:lvlText w:val="•"/>
      <w:lvlJc w:val="left"/>
      <w:pPr>
        <w:tabs>
          <w:tab w:val="num" w:pos="2160"/>
        </w:tabs>
        <w:ind w:left="2160" w:hanging="360"/>
      </w:pPr>
      <w:rPr>
        <w:rFonts w:ascii="Arial" w:hAnsi="Arial" w:hint="default"/>
      </w:rPr>
    </w:lvl>
    <w:lvl w:ilvl="3" w:tplc="18BAFBCC" w:tentative="1">
      <w:start w:val="1"/>
      <w:numFmt w:val="bullet"/>
      <w:lvlText w:val="•"/>
      <w:lvlJc w:val="left"/>
      <w:pPr>
        <w:tabs>
          <w:tab w:val="num" w:pos="2880"/>
        </w:tabs>
        <w:ind w:left="2880" w:hanging="360"/>
      </w:pPr>
      <w:rPr>
        <w:rFonts w:ascii="Arial" w:hAnsi="Arial" w:hint="default"/>
      </w:rPr>
    </w:lvl>
    <w:lvl w:ilvl="4" w:tplc="5E9AAA66" w:tentative="1">
      <w:start w:val="1"/>
      <w:numFmt w:val="bullet"/>
      <w:lvlText w:val="•"/>
      <w:lvlJc w:val="left"/>
      <w:pPr>
        <w:tabs>
          <w:tab w:val="num" w:pos="3600"/>
        </w:tabs>
        <w:ind w:left="3600" w:hanging="360"/>
      </w:pPr>
      <w:rPr>
        <w:rFonts w:ascii="Arial" w:hAnsi="Arial" w:hint="default"/>
      </w:rPr>
    </w:lvl>
    <w:lvl w:ilvl="5" w:tplc="829ADEB0" w:tentative="1">
      <w:start w:val="1"/>
      <w:numFmt w:val="bullet"/>
      <w:lvlText w:val="•"/>
      <w:lvlJc w:val="left"/>
      <w:pPr>
        <w:tabs>
          <w:tab w:val="num" w:pos="4320"/>
        </w:tabs>
        <w:ind w:left="4320" w:hanging="360"/>
      </w:pPr>
      <w:rPr>
        <w:rFonts w:ascii="Arial" w:hAnsi="Arial" w:hint="default"/>
      </w:rPr>
    </w:lvl>
    <w:lvl w:ilvl="6" w:tplc="8B84CFB2" w:tentative="1">
      <w:start w:val="1"/>
      <w:numFmt w:val="bullet"/>
      <w:lvlText w:val="•"/>
      <w:lvlJc w:val="left"/>
      <w:pPr>
        <w:tabs>
          <w:tab w:val="num" w:pos="5040"/>
        </w:tabs>
        <w:ind w:left="5040" w:hanging="360"/>
      </w:pPr>
      <w:rPr>
        <w:rFonts w:ascii="Arial" w:hAnsi="Arial" w:hint="default"/>
      </w:rPr>
    </w:lvl>
    <w:lvl w:ilvl="7" w:tplc="687E39E4" w:tentative="1">
      <w:start w:val="1"/>
      <w:numFmt w:val="bullet"/>
      <w:lvlText w:val="•"/>
      <w:lvlJc w:val="left"/>
      <w:pPr>
        <w:tabs>
          <w:tab w:val="num" w:pos="5760"/>
        </w:tabs>
        <w:ind w:left="5760" w:hanging="360"/>
      </w:pPr>
      <w:rPr>
        <w:rFonts w:ascii="Arial" w:hAnsi="Arial" w:hint="default"/>
      </w:rPr>
    </w:lvl>
    <w:lvl w:ilvl="8" w:tplc="47AE2D4C"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24796ECF"/>
    <w:multiLevelType w:val="hybridMultilevel"/>
    <w:tmpl w:val="8312B57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2F9237D4"/>
    <w:multiLevelType w:val="hybridMultilevel"/>
    <w:tmpl w:val="FA9000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69701BC"/>
    <w:multiLevelType w:val="hybridMultilevel"/>
    <w:tmpl w:val="830E4524"/>
    <w:lvl w:ilvl="0" w:tplc="3A1A49B2">
      <w:start w:val="5"/>
      <w:numFmt w:val="bullet"/>
      <w:lvlText w:val="-"/>
      <w:lvlJc w:val="left"/>
      <w:pPr>
        <w:ind w:left="720" w:hanging="360"/>
      </w:pPr>
      <w:rPr>
        <w:rFonts w:ascii="Calibri" w:eastAsia="Calibri" w:hAnsi="Calibri"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6C747631"/>
    <w:multiLevelType w:val="hybridMultilevel"/>
    <w:tmpl w:val="F8301316"/>
    <w:lvl w:ilvl="0" w:tplc="CA86EB06">
      <w:numFmt w:val="bullet"/>
      <w:lvlText w:val="-"/>
      <w:lvlJc w:val="left"/>
      <w:pPr>
        <w:ind w:left="720" w:hanging="360"/>
      </w:pPr>
      <w:rPr>
        <w:rFonts w:ascii="Verdana" w:eastAsia="Times New Roman" w:hAnsi="Verdana" w:cs="Courier"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1"/>
  </w:num>
  <w:num w:numId="4">
    <w:abstractNumId w:val="3"/>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SystemFonts/>
  <w:proofState w:spelling="clean" w:grammar="clean"/>
  <w:defaultTabStop w:val="708"/>
  <w:hyphenationZone w:val="283"/>
  <w:doNotHyphenateCaps/>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72D6"/>
    <w:rsid w:val="0000591A"/>
    <w:rsid w:val="00016DD6"/>
    <w:rsid w:val="000176F7"/>
    <w:rsid w:val="000248E1"/>
    <w:rsid w:val="00025B34"/>
    <w:rsid w:val="00043C59"/>
    <w:rsid w:val="000448C8"/>
    <w:rsid w:val="0004528F"/>
    <w:rsid w:val="000466CE"/>
    <w:rsid w:val="000504F4"/>
    <w:rsid w:val="00054B6C"/>
    <w:rsid w:val="00065B5E"/>
    <w:rsid w:val="00066B5C"/>
    <w:rsid w:val="00071626"/>
    <w:rsid w:val="00075925"/>
    <w:rsid w:val="0008275B"/>
    <w:rsid w:val="00090371"/>
    <w:rsid w:val="00090B62"/>
    <w:rsid w:val="00092F9E"/>
    <w:rsid w:val="000A47C0"/>
    <w:rsid w:val="000A5B3F"/>
    <w:rsid w:val="000B228E"/>
    <w:rsid w:val="000B6366"/>
    <w:rsid w:val="000C0AB2"/>
    <w:rsid w:val="000C0B4D"/>
    <w:rsid w:val="000C418F"/>
    <w:rsid w:val="000C5806"/>
    <w:rsid w:val="000D203E"/>
    <w:rsid w:val="000E037A"/>
    <w:rsid w:val="000E0A97"/>
    <w:rsid w:val="000E2852"/>
    <w:rsid w:val="000E28A0"/>
    <w:rsid w:val="000E43C5"/>
    <w:rsid w:val="000E52FF"/>
    <w:rsid w:val="000F03DB"/>
    <w:rsid w:val="000F0DEA"/>
    <w:rsid w:val="000F138B"/>
    <w:rsid w:val="000F23B1"/>
    <w:rsid w:val="000F32B6"/>
    <w:rsid w:val="00102009"/>
    <w:rsid w:val="00104AF9"/>
    <w:rsid w:val="00117770"/>
    <w:rsid w:val="00117EE8"/>
    <w:rsid w:val="00132CAF"/>
    <w:rsid w:val="0013505A"/>
    <w:rsid w:val="00135773"/>
    <w:rsid w:val="0013716C"/>
    <w:rsid w:val="00144B4A"/>
    <w:rsid w:val="00150046"/>
    <w:rsid w:val="00151E97"/>
    <w:rsid w:val="001547E1"/>
    <w:rsid w:val="00154B1D"/>
    <w:rsid w:val="001555B6"/>
    <w:rsid w:val="00156B3A"/>
    <w:rsid w:val="00161AE4"/>
    <w:rsid w:val="00163618"/>
    <w:rsid w:val="001704E6"/>
    <w:rsid w:val="00172866"/>
    <w:rsid w:val="001728D1"/>
    <w:rsid w:val="001748FD"/>
    <w:rsid w:val="00175E68"/>
    <w:rsid w:val="00180795"/>
    <w:rsid w:val="00183799"/>
    <w:rsid w:val="00185FCE"/>
    <w:rsid w:val="001908BC"/>
    <w:rsid w:val="001916EB"/>
    <w:rsid w:val="00195032"/>
    <w:rsid w:val="00196CA7"/>
    <w:rsid w:val="001A0DC1"/>
    <w:rsid w:val="001A6C5D"/>
    <w:rsid w:val="001B36D4"/>
    <w:rsid w:val="001C4160"/>
    <w:rsid w:val="001C53F0"/>
    <w:rsid w:val="001D14DA"/>
    <w:rsid w:val="001D1BBF"/>
    <w:rsid w:val="001D24B5"/>
    <w:rsid w:val="001D252E"/>
    <w:rsid w:val="001D2C15"/>
    <w:rsid w:val="001D4880"/>
    <w:rsid w:val="001D493E"/>
    <w:rsid w:val="001E22F0"/>
    <w:rsid w:val="001E603A"/>
    <w:rsid w:val="001E7A5B"/>
    <w:rsid w:val="001F2385"/>
    <w:rsid w:val="00202A32"/>
    <w:rsid w:val="00206AD9"/>
    <w:rsid w:val="00213509"/>
    <w:rsid w:val="002209E7"/>
    <w:rsid w:val="002215DF"/>
    <w:rsid w:val="002230A4"/>
    <w:rsid w:val="002272C7"/>
    <w:rsid w:val="0023590A"/>
    <w:rsid w:val="002360BC"/>
    <w:rsid w:val="002406B1"/>
    <w:rsid w:val="002428C8"/>
    <w:rsid w:val="00245335"/>
    <w:rsid w:val="00250D08"/>
    <w:rsid w:val="00253F46"/>
    <w:rsid w:val="00256529"/>
    <w:rsid w:val="002643AF"/>
    <w:rsid w:val="00266076"/>
    <w:rsid w:val="00266717"/>
    <w:rsid w:val="002770E2"/>
    <w:rsid w:val="00280AF1"/>
    <w:rsid w:val="00281A1D"/>
    <w:rsid w:val="0028200F"/>
    <w:rsid w:val="00284C45"/>
    <w:rsid w:val="0029229C"/>
    <w:rsid w:val="00292BC8"/>
    <w:rsid w:val="00292D01"/>
    <w:rsid w:val="00294553"/>
    <w:rsid w:val="0029455E"/>
    <w:rsid w:val="002A0015"/>
    <w:rsid w:val="002A1A91"/>
    <w:rsid w:val="002A6636"/>
    <w:rsid w:val="002A76C9"/>
    <w:rsid w:val="002B22D1"/>
    <w:rsid w:val="002B4120"/>
    <w:rsid w:val="002B7535"/>
    <w:rsid w:val="002B7708"/>
    <w:rsid w:val="002C037F"/>
    <w:rsid w:val="002C7265"/>
    <w:rsid w:val="002D4434"/>
    <w:rsid w:val="002D6B99"/>
    <w:rsid w:val="002F047B"/>
    <w:rsid w:val="002F7279"/>
    <w:rsid w:val="00300F82"/>
    <w:rsid w:val="0030204E"/>
    <w:rsid w:val="00303945"/>
    <w:rsid w:val="0030602C"/>
    <w:rsid w:val="0030767D"/>
    <w:rsid w:val="00312F41"/>
    <w:rsid w:val="00325A22"/>
    <w:rsid w:val="00330B9D"/>
    <w:rsid w:val="00333051"/>
    <w:rsid w:val="003346D3"/>
    <w:rsid w:val="003434AA"/>
    <w:rsid w:val="00361F97"/>
    <w:rsid w:val="003650C1"/>
    <w:rsid w:val="00365342"/>
    <w:rsid w:val="00372C65"/>
    <w:rsid w:val="00381DD2"/>
    <w:rsid w:val="003824E5"/>
    <w:rsid w:val="00392932"/>
    <w:rsid w:val="00393A3A"/>
    <w:rsid w:val="00394946"/>
    <w:rsid w:val="00394DD1"/>
    <w:rsid w:val="00394FAF"/>
    <w:rsid w:val="003A005B"/>
    <w:rsid w:val="003A6FA1"/>
    <w:rsid w:val="003A7E18"/>
    <w:rsid w:val="003B08A6"/>
    <w:rsid w:val="003B1C2A"/>
    <w:rsid w:val="003B26AA"/>
    <w:rsid w:val="003B289F"/>
    <w:rsid w:val="003B28A5"/>
    <w:rsid w:val="003B7EDF"/>
    <w:rsid w:val="003C190D"/>
    <w:rsid w:val="003D3382"/>
    <w:rsid w:val="003E256F"/>
    <w:rsid w:val="003E42AD"/>
    <w:rsid w:val="003E45A8"/>
    <w:rsid w:val="003E7816"/>
    <w:rsid w:val="003F0BA5"/>
    <w:rsid w:val="003F0D98"/>
    <w:rsid w:val="003F10F9"/>
    <w:rsid w:val="00401201"/>
    <w:rsid w:val="004067B0"/>
    <w:rsid w:val="00413B9A"/>
    <w:rsid w:val="00414C9E"/>
    <w:rsid w:val="0041789A"/>
    <w:rsid w:val="0042424A"/>
    <w:rsid w:val="00434AE4"/>
    <w:rsid w:val="0044007B"/>
    <w:rsid w:val="00442BD9"/>
    <w:rsid w:val="00443ED3"/>
    <w:rsid w:val="00444DD3"/>
    <w:rsid w:val="00453DF6"/>
    <w:rsid w:val="00460637"/>
    <w:rsid w:val="00460DA9"/>
    <w:rsid w:val="0046209C"/>
    <w:rsid w:val="00462FC9"/>
    <w:rsid w:val="004640CF"/>
    <w:rsid w:val="004714C6"/>
    <w:rsid w:val="00473F3B"/>
    <w:rsid w:val="00476C18"/>
    <w:rsid w:val="00483611"/>
    <w:rsid w:val="00484F1A"/>
    <w:rsid w:val="00486021"/>
    <w:rsid w:val="00490D0F"/>
    <w:rsid w:val="0049105B"/>
    <w:rsid w:val="00493982"/>
    <w:rsid w:val="004A1208"/>
    <w:rsid w:val="004A1A6F"/>
    <w:rsid w:val="004B02E5"/>
    <w:rsid w:val="004B08C1"/>
    <w:rsid w:val="004B17FB"/>
    <w:rsid w:val="004B418F"/>
    <w:rsid w:val="004B5598"/>
    <w:rsid w:val="004C29C9"/>
    <w:rsid w:val="004C31B3"/>
    <w:rsid w:val="004C3793"/>
    <w:rsid w:val="004C51A6"/>
    <w:rsid w:val="004C63D4"/>
    <w:rsid w:val="004E4ADB"/>
    <w:rsid w:val="004F6026"/>
    <w:rsid w:val="005029DD"/>
    <w:rsid w:val="00503C9E"/>
    <w:rsid w:val="005070D4"/>
    <w:rsid w:val="005101A5"/>
    <w:rsid w:val="00513F09"/>
    <w:rsid w:val="0052171D"/>
    <w:rsid w:val="00522A99"/>
    <w:rsid w:val="0052751A"/>
    <w:rsid w:val="0053410D"/>
    <w:rsid w:val="005411F7"/>
    <w:rsid w:val="00544EFF"/>
    <w:rsid w:val="00551C67"/>
    <w:rsid w:val="005532C7"/>
    <w:rsid w:val="00553879"/>
    <w:rsid w:val="00553AED"/>
    <w:rsid w:val="00570972"/>
    <w:rsid w:val="00571008"/>
    <w:rsid w:val="00571A31"/>
    <w:rsid w:val="00572A1A"/>
    <w:rsid w:val="0057675D"/>
    <w:rsid w:val="00580095"/>
    <w:rsid w:val="00581D95"/>
    <w:rsid w:val="005828DA"/>
    <w:rsid w:val="00586FC1"/>
    <w:rsid w:val="00591916"/>
    <w:rsid w:val="00593092"/>
    <w:rsid w:val="00597F1B"/>
    <w:rsid w:val="005A1E21"/>
    <w:rsid w:val="005A50E7"/>
    <w:rsid w:val="005A6D24"/>
    <w:rsid w:val="005B3018"/>
    <w:rsid w:val="005B5DF3"/>
    <w:rsid w:val="005B663D"/>
    <w:rsid w:val="005D3404"/>
    <w:rsid w:val="005D376E"/>
    <w:rsid w:val="005D64E5"/>
    <w:rsid w:val="005E233E"/>
    <w:rsid w:val="005F14DC"/>
    <w:rsid w:val="005F2ACC"/>
    <w:rsid w:val="005F672F"/>
    <w:rsid w:val="00600D4F"/>
    <w:rsid w:val="00601481"/>
    <w:rsid w:val="006017E8"/>
    <w:rsid w:val="0060333C"/>
    <w:rsid w:val="00605AFD"/>
    <w:rsid w:val="00606ECB"/>
    <w:rsid w:val="0061747C"/>
    <w:rsid w:val="00617B08"/>
    <w:rsid w:val="00626504"/>
    <w:rsid w:val="00626D8B"/>
    <w:rsid w:val="00630740"/>
    <w:rsid w:val="006323A7"/>
    <w:rsid w:val="0064145C"/>
    <w:rsid w:val="00642D80"/>
    <w:rsid w:val="006434A5"/>
    <w:rsid w:val="00646C9A"/>
    <w:rsid w:val="00647457"/>
    <w:rsid w:val="006506C4"/>
    <w:rsid w:val="006553E1"/>
    <w:rsid w:val="00663D07"/>
    <w:rsid w:val="006675B8"/>
    <w:rsid w:val="00667DD0"/>
    <w:rsid w:val="00675EDD"/>
    <w:rsid w:val="00677027"/>
    <w:rsid w:val="00677B25"/>
    <w:rsid w:val="0068559C"/>
    <w:rsid w:val="00686381"/>
    <w:rsid w:val="006A15EC"/>
    <w:rsid w:val="006A2231"/>
    <w:rsid w:val="006A760E"/>
    <w:rsid w:val="006C1383"/>
    <w:rsid w:val="006C57FC"/>
    <w:rsid w:val="006C68B6"/>
    <w:rsid w:val="006D0747"/>
    <w:rsid w:val="006D3533"/>
    <w:rsid w:val="006D3733"/>
    <w:rsid w:val="006E315E"/>
    <w:rsid w:val="006E3EEA"/>
    <w:rsid w:val="006F1101"/>
    <w:rsid w:val="007049C4"/>
    <w:rsid w:val="0071218F"/>
    <w:rsid w:val="00714BDD"/>
    <w:rsid w:val="00722D6E"/>
    <w:rsid w:val="00731CE9"/>
    <w:rsid w:val="00734147"/>
    <w:rsid w:val="007357EF"/>
    <w:rsid w:val="007362B9"/>
    <w:rsid w:val="0073760B"/>
    <w:rsid w:val="00742B47"/>
    <w:rsid w:val="00751ECA"/>
    <w:rsid w:val="007521CE"/>
    <w:rsid w:val="00767E94"/>
    <w:rsid w:val="00770444"/>
    <w:rsid w:val="00774DBF"/>
    <w:rsid w:val="007759DF"/>
    <w:rsid w:val="007820AB"/>
    <w:rsid w:val="00790781"/>
    <w:rsid w:val="00791D5C"/>
    <w:rsid w:val="007921CC"/>
    <w:rsid w:val="00794E69"/>
    <w:rsid w:val="007A094D"/>
    <w:rsid w:val="007A47FF"/>
    <w:rsid w:val="007A6ADB"/>
    <w:rsid w:val="007B158E"/>
    <w:rsid w:val="007B2332"/>
    <w:rsid w:val="007B2A3E"/>
    <w:rsid w:val="007B4419"/>
    <w:rsid w:val="007C17AB"/>
    <w:rsid w:val="007C2232"/>
    <w:rsid w:val="007D2FAB"/>
    <w:rsid w:val="007D5027"/>
    <w:rsid w:val="007E009E"/>
    <w:rsid w:val="007E31C7"/>
    <w:rsid w:val="007E5A73"/>
    <w:rsid w:val="007E7589"/>
    <w:rsid w:val="007F3633"/>
    <w:rsid w:val="007F47A3"/>
    <w:rsid w:val="007F7F3F"/>
    <w:rsid w:val="0080179A"/>
    <w:rsid w:val="00802747"/>
    <w:rsid w:val="00811C14"/>
    <w:rsid w:val="008133BA"/>
    <w:rsid w:val="008240F1"/>
    <w:rsid w:val="0082589C"/>
    <w:rsid w:val="00826CE5"/>
    <w:rsid w:val="00830074"/>
    <w:rsid w:val="008300B6"/>
    <w:rsid w:val="008316D9"/>
    <w:rsid w:val="008370F3"/>
    <w:rsid w:val="00840289"/>
    <w:rsid w:val="008430B6"/>
    <w:rsid w:val="008450BA"/>
    <w:rsid w:val="00846687"/>
    <w:rsid w:val="00851BB2"/>
    <w:rsid w:val="0085316E"/>
    <w:rsid w:val="008532E5"/>
    <w:rsid w:val="008571CA"/>
    <w:rsid w:val="008575DF"/>
    <w:rsid w:val="00857EE1"/>
    <w:rsid w:val="008610D3"/>
    <w:rsid w:val="008739C1"/>
    <w:rsid w:val="00874C91"/>
    <w:rsid w:val="00876680"/>
    <w:rsid w:val="00880E01"/>
    <w:rsid w:val="00882F06"/>
    <w:rsid w:val="00884924"/>
    <w:rsid w:val="0088513C"/>
    <w:rsid w:val="00885726"/>
    <w:rsid w:val="00890890"/>
    <w:rsid w:val="00891533"/>
    <w:rsid w:val="0089384B"/>
    <w:rsid w:val="008B197E"/>
    <w:rsid w:val="008B2373"/>
    <w:rsid w:val="008B4AC5"/>
    <w:rsid w:val="008C35A2"/>
    <w:rsid w:val="008C6363"/>
    <w:rsid w:val="008D1E81"/>
    <w:rsid w:val="008D6731"/>
    <w:rsid w:val="008E5249"/>
    <w:rsid w:val="008E6105"/>
    <w:rsid w:val="008F3723"/>
    <w:rsid w:val="009064C6"/>
    <w:rsid w:val="00907CAD"/>
    <w:rsid w:val="00912CDD"/>
    <w:rsid w:val="009131D9"/>
    <w:rsid w:val="00920D5F"/>
    <w:rsid w:val="00926E70"/>
    <w:rsid w:val="0093104A"/>
    <w:rsid w:val="0093532A"/>
    <w:rsid w:val="00940C36"/>
    <w:rsid w:val="00945CA6"/>
    <w:rsid w:val="00956F50"/>
    <w:rsid w:val="009571AB"/>
    <w:rsid w:val="009604E4"/>
    <w:rsid w:val="00970331"/>
    <w:rsid w:val="009731C8"/>
    <w:rsid w:val="00981370"/>
    <w:rsid w:val="0098585A"/>
    <w:rsid w:val="00987948"/>
    <w:rsid w:val="00993811"/>
    <w:rsid w:val="00994250"/>
    <w:rsid w:val="009A4586"/>
    <w:rsid w:val="009B05AA"/>
    <w:rsid w:val="009B2EED"/>
    <w:rsid w:val="009B60CA"/>
    <w:rsid w:val="009B6236"/>
    <w:rsid w:val="009C46E4"/>
    <w:rsid w:val="009C72A3"/>
    <w:rsid w:val="009D73E4"/>
    <w:rsid w:val="009D7F9F"/>
    <w:rsid w:val="009E0384"/>
    <w:rsid w:val="009E5DD5"/>
    <w:rsid w:val="009E600F"/>
    <w:rsid w:val="009F37D9"/>
    <w:rsid w:val="009F49F9"/>
    <w:rsid w:val="00A00E2C"/>
    <w:rsid w:val="00A03BB5"/>
    <w:rsid w:val="00A04780"/>
    <w:rsid w:val="00A052F3"/>
    <w:rsid w:val="00A10B06"/>
    <w:rsid w:val="00A152AD"/>
    <w:rsid w:val="00A2040B"/>
    <w:rsid w:val="00A2158D"/>
    <w:rsid w:val="00A2210A"/>
    <w:rsid w:val="00A221B9"/>
    <w:rsid w:val="00A23C28"/>
    <w:rsid w:val="00A255FF"/>
    <w:rsid w:val="00A2755A"/>
    <w:rsid w:val="00A31854"/>
    <w:rsid w:val="00A326E6"/>
    <w:rsid w:val="00A40B02"/>
    <w:rsid w:val="00A47EC9"/>
    <w:rsid w:val="00A55F0A"/>
    <w:rsid w:val="00A6120B"/>
    <w:rsid w:val="00A61402"/>
    <w:rsid w:val="00A63F80"/>
    <w:rsid w:val="00A641DA"/>
    <w:rsid w:val="00A75425"/>
    <w:rsid w:val="00A821E6"/>
    <w:rsid w:val="00A869E5"/>
    <w:rsid w:val="00A90004"/>
    <w:rsid w:val="00A936B4"/>
    <w:rsid w:val="00A96567"/>
    <w:rsid w:val="00AA5CF8"/>
    <w:rsid w:val="00AA7CE0"/>
    <w:rsid w:val="00AB24E4"/>
    <w:rsid w:val="00AB291D"/>
    <w:rsid w:val="00AB4E0D"/>
    <w:rsid w:val="00AC1DE5"/>
    <w:rsid w:val="00AC72EA"/>
    <w:rsid w:val="00AD2F84"/>
    <w:rsid w:val="00AE099B"/>
    <w:rsid w:val="00AE397F"/>
    <w:rsid w:val="00AF40FB"/>
    <w:rsid w:val="00AF70B4"/>
    <w:rsid w:val="00B109FF"/>
    <w:rsid w:val="00B11F09"/>
    <w:rsid w:val="00B13629"/>
    <w:rsid w:val="00B138A6"/>
    <w:rsid w:val="00B1435B"/>
    <w:rsid w:val="00B226DC"/>
    <w:rsid w:val="00B22959"/>
    <w:rsid w:val="00B24166"/>
    <w:rsid w:val="00B310CC"/>
    <w:rsid w:val="00B3233C"/>
    <w:rsid w:val="00B35E14"/>
    <w:rsid w:val="00B3667C"/>
    <w:rsid w:val="00B42804"/>
    <w:rsid w:val="00B45319"/>
    <w:rsid w:val="00B47353"/>
    <w:rsid w:val="00B630FE"/>
    <w:rsid w:val="00B6412F"/>
    <w:rsid w:val="00B64F60"/>
    <w:rsid w:val="00B66149"/>
    <w:rsid w:val="00B70882"/>
    <w:rsid w:val="00B72C04"/>
    <w:rsid w:val="00B75168"/>
    <w:rsid w:val="00B76735"/>
    <w:rsid w:val="00B76859"/>
    <w:rsid w:val="00B822DA"/>
    <w:rsid w:val="00B82614"/>
    <w:rsid w:val="00B82B9F"/>
    <w:rsid w:val="00B835B0"/>
    <w:rsid w:val="00B871FA"/>
    <w:rsid w:val="00B879B3"/>
    <w:rsid w:val="00B924BF"/>
    <w:rsid w:val="00BA51AD"/>
    <w:rsid w:val="00BA567D"/>
    <w:rsid w:val="00BA5735"/>
    <w:rsid w:val="00BB0A71"/>
    <w:rsid w:val="00BB3272"/>
    <w:rsid w:val="00BC0430"/>
    <w:rsid w:val="00BC3203"/>
    <w:rsid w:val="00BC6C92"/>
    <w:rsid w:val="00BD190E"/>
    <w:rsid w:val="00BD3142"/>
    <w:rsid w:val="00BE14D1"/>
    <w:rsid w:val="00BE18A3"/>
    <w:rsid w:val="00BE1C7A"/>
    <w:rsid w:val="00BF30E1"/>
    <w:rsid w:val="00BF35E5"/>
    <w:rsid w:val="00BF52DB"/>
    <w:rsid w:val="00C10216"/>
    <w:rsid w:val="00C10391"/>
    <w:rsid w:val="00C10E70"/>
    <w:rsid w:val="00C13FA0"/>
    <w:rsid w:val="00C16481"/>
    <w:rsid w:val="00C20AC0"/>
    <w:rsid w:val="00C218E9"/>
    <w:rsid w:val="00C21E34"/>
    <w:rsid w:val="00C40AEB"/>
    <w:rsid w:val="00C42301"/>
    <w:rsid w:val="00C43D1A"/>
    <w:rsid w:val="00C4684B"/>
    <w:rsid w:val="00C47AD9"/>
    <w:rsid w:val="00C54C79"/>
    <w:rsid w:val="00C6046F"/>
    <w:rsid w:val="00C60F53"/>
    <w:rsid w:val="00C675B1"/>
    <w:rsid w:val="00C72AD8"/>
    <w:rsid w:val="00C74005"/>
    <w:rsid w:val="00C74BCE"/>
    <w:rsid w:val="00C829CA"/>
    <w:rsid w:val="00C82C3D"/>
    <w:rsid w:val="00C83C67"/>
    <w:rsid w:val="00C84B3F"/>
    <w:rsid w:val="00C87E03"/>
    <w:rsid w:val="00C95363"/>
    <w:rsid w:val="00CA2907"/>
    <w:rsid w:val="00CA4AF9"/>
    <w:rsid w:val="00CB1AB5"/>
    <w:rsid w:val="00CB1F3F"/>
    <w:rsid w:val="00CB36CC"/>
    <w:rsid w:val="00CB74DB"/>
    <w:rsid w:val="00CC2A07"/>
    <w:rsid w:val="00CD56B3"/>
    <w:rsid w:val="00CE0A55"/>
    <w:rsid w:val="00CE3ED4"/>
    <w:rsid w:val="00CE6D64"/>
    <w:rsid w:val="00CF7DF1"/>
    <w:rsid w:val="00D02834"/>
    <w:rsid w:val="00D15560"/>
    <w:rsid w:val="00D23722"/>
    <w:rsid w:val="00D23723"/>
    <w:rsid w:val="00D24285"/>
    <w:rsid w:val="00D30F42"/>
    <w:rsid w:val="00D36EDC"/>
    <w:rsid w:val="00D3777B"/>
    <w:rsid w:val="00D4002E"/>
    <w:rsid w:val="00D411FC"/>
    <w:rsid w:val="00D42103"/>
    <w:rsid w:val="00D42784"/>
    <w:rsid w:val="00D466F4"/>
    <w:rsid w:val="00D4725A"/>
    <w:rsid w:val="00D472D6"/>
    <w:rsid w:val="00D56444"/>
    <w:rsid w:val="00D60A2D"/>
    <w:rsid w:val="00D658E9"/>
    <w:rsid w:val="00D66159"/>
    <w:rsid w:val="00D7088D"/>
    <w:rsid w:val="00D77605"/>
    <w:rsid w:val="00D82BDE"/>
    <w:rsid w:val="00D84EE8"/>
    <w:rsid w:val="00D860CE"/>
    <w:rsid w:val="00D9079B"/>
    <w:rsid w:val="00DA0BCD"/>
    <w:rsid w:val="00DA1B93"/>
    <w:rsid w:val="00DB5F5D"/>
    <w:rsid w:val="00DC0248"/>
    <w:rsid w:val="00DC366C"/>
    <w:rsid w:val="00DC6242"/>
    <w:rsid w:val="00DC67F0"/>
    <w:rsid w:val="00DD0426"/>
    <w:rsid w:val="00DD0EA1"/>
    <w:rsid w:val="00DD0FBA"/>
    <w:rsid w:val="00DD4686"/>
    <w:rsid w:val="00DD6350"/>
    <w:rsid w:val="00DD657D"/>
    <w:rsid w:val="00DE34B9"/>
    <w:rsid w:val="00DE3D78"/>
    <w:rsid w:val="00DF2F4C"/>
    <w:rsid w:val="00DF4EF7"/>
    <w:rsid w:val="00E10F7B"/>
    <w:rsid w:val="00E11C69"/>
    <w:rsid w:val="00E11F3F"/>
    <w:rsid w:val="00E16C0E"/>
    <w:rsid w:val="00E17D24"/>
    <w:rsid w:val="00E227BE"/>
    <w:rsid w:val="00E23F26"/>
    <w:rsid w:val="00E26ABB"/>
    <w:rsid w:val="00E27DBB"/>
    <w:rsid w:val="00E368C2"/>
    <w:rsid w:val="00E4077B"/>
    <w:rsid w:val="00E41363"/>
    <w:rsid w:val="00E435AC"/>
    <w:rsid w:val="00E46E79"/>
    <w:rsid w:val="00E52220"/>
    <w:rsid w:val="00E66629"/>
    <w:rsid w:val="00E67D4D"/>
    <w:rsid w:val="00E70E2D"/>
    <w:rsid w:val="00E713D6"/>
    <w:rsid w:val="00E7619D"/>
    <w:rsid w:val="00E77979"/>
    <w:rsid w:val="00E85CE5"/>
    <w:rsid w:val="00E86A1F"/>
    <w:rsid w:val="00E8756F"/>
    <w:rsid w:val="00E87B49"/>
    <w:rsid w:val="00EA5292"/>
    <w:rsid w:val="00EB1DF4"/>
    <w:rsid w:val="00EB2D8E"/>
    <w:rsid w:val="00EB33E1"/>
    <w:rsid w:val="00EC1FD5"/>
    <w:rsid w:val="00EC3FA4"/>
    <w:rsid w:val="00EC7C63"/>
    <w:rsid w:val="00ED0B6E"/>
    <w:rsid w:val="00ED3AF5"/>
    <w:rsid w:val="00EE08EE"/>
    <w:rsid w:val="00EE2F53"/>
    <w:rsid w:val="00EE45BD"/>
    <w:rsid w:val="00EE5032"/>
    <w:rsid w:val="00EE6739"/>
    <w:rsid w:val="00EE766E"/>
    <w:rsid w:val="00EF0CE5"/>
    <w:rsid w:val="00EF588C"/>
    <w:rsid w:val="00F00CC9"/>
    <w:rsid w:val="00F00D05"/>
    <w:rsid w:val="00F02687"/>
    <w:rsid w:val="00F0282B"/>
    <w:rsid w:val="00F03611"/>
    <w:rsid w:val="00F05C35"/>
    <w:rsid w:val="00F14DCA"/>
    <w:rsid w:val="00F1743D"/>
    <w:rsid w:val="00F278D3"/>
    <w:rsid w:val="00F327B7"/>
    <w:rsid w:val="00F33074"/>
    <w:rsid w:val="00F419C4"/>
    <w:rsid w:val="00F42BAD"/>
    <w:rsid w:val="00F448CE"/>
    <w:rsid w:val="00F50A90"/>
    <w:rsid w:val="00F543C5"/>
    <w:rsid w:val="00F55823"/>
    <w:rsid w:val="00F723C6"/>
    <w:rsid w:val="00F732DE"/>
    <w:rsid w:val="00F7437C"/>
    <w:rsid w:val="00F7611C"/>
    <w:rsid w:val="00F76FF4"/>
    <w:rsid w:val="00F80355"/>
    <w:rsid w:val="00F82122"/>
    <w:rsid w:val="00F8352F"/>
    <w:rsid w:val="00F94DA9"/>
    <w:rsid w:val="00F969B8"/>
    <w:rsid w:val="00FA01DA"/>
    <w:rsid w:val="00FB601D"/>
    <w:rsid w:val="00FC22DF"/>
    <w:rsid w:val="00FC67A7"/>
    <w:rsid w:val="00FE42E3"/>
    <w:rsid w:val="00FF3387"/>
    <w:rsid w:val="00FF3F66"/>
    <w:rsid w:val="00FF6703"/>
    <w:rsid w:val="00FF7596"/>
    <w:rsid w:val="00FF7C40"/>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6625"/>
    <o:shapelayout v:ext="edit">
      <o:idmap v:ext="edit" data="1"/>
    </o:shapelayout>
  </w:shapeDefaults>
  <w:decimalSymbol w:val=","/>
  <w:listSeparator w:val=";"/>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ourier" w:eastAsia="Times New Roman" w:hAnsi="Courier" w:cs="Courier"/>
        <w:sz w:val="22"/>
        <w:szCs w:val="22"/>
        <w:lang w:val="it-IT"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iPriority="0"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locked="1" w:semiHidden="1" w:unhideWhenUsed="1"/>
    <w:lsdException w:name="Table Grid" w:locked="1" w:uiPriority="59"/>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sz w:val="24"/>
      <w:szCs w:val="24"/>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rPr>
      <w:rFonts w:cs="Times New Roman"/>
      <w:sz w:val="18"/>
      <w:szCs w:val="18"/>
    </w:rPr>
  </w:style>
  <w:style w:type="character" w:customStyle="1" w:styleId="SprechblasentextZchn">
    <w:name w:val="Sprechblasentext Zchn"/>
    <w:basedOn w:val="Absatz-Standardschriftart"/>
    <w:link w:val="Sprechblasentext"/>
    <w:uiPriority w:val="99"/>
    <w:semiHidden/>
    <w:locked/>
    <w:rPr>
      <w:rFonts w:ascii="Times New Roman" w:hAnsi="Times New Roman" w:cs="Times New Roman"/>
      <w:sz w:val="2"/>
      <w:szCs w:val="2"/>
      <w:lang w:val="it-IT"/>
    </w:rPr>
  </w:style>
  <w:style w:type="paragraph" w:styleId="Kopfzeile">
    <w:name w:val="header"/>
    <w:basedOn w:val="Standard"/>
    <w:link w:val="KopfzeileZchn"/>
    <w:uiPriority w:val="99"/>
    <w:semiHidden/>
    <w:pPr>
      <w:tabs>
        <w:tab w:val="center" w:pos="4819"/>
        <w:tab w:val="right" w:pos="9638"/>
      </w:tabs>
    </w:pPr>
  </w:style>
  <w:style w:type="character" w:customStyle="1" w:styleId="KopfzeileZchn">
    <w:name w:val="Kopfzeile Zchn"/>
    <w:basedOn w:val="Absatz-Standardschriftart"/>
    <w:link w:val="Kopfzeile"/>
    <w:uiPriority w:val="99"/>
    <w:semiHidden/>
    <w:locked/>
    <w:rPr>
      <w:rFonts w:cs="Times New Roman"/>
      <w:sz w:val="24"/>
      <w:szCs w:val="24"/>
    </w:rPr>
  </w:style>
  <w:style w:type="paragraph" w:styleId="Fuzeile">
    <w:name w:val="footer"/>
    <w:basedOn w:val="Standard"/>
    <w:link w:val="FuzeileZchn"/>
    <w:uiPriority w:val="99"/>
    <w:semiHidden/>
    <w:pPr>
      <w:tabs>
        <w:tab w:val="center" w:pos="4819"/>
        <w:tab w:val="right" w:pos="9638"/>
      </w:tabs>
    </w:pPr>
  </w:style>
  <w:style w:type="character" w:customStyle="1" w:styleId="FuzeileZchn">
    <w:name w:val="Fußzeile Zchn"/>
    <w:basedOn w:val="Absatz-Standardschriftart"/>
    <w:link w:val="Fuzeile"/>
    <w:uiPriority w:val="99"/>
    <w:semiHidden/>
    <w:locked/>
    <w:rPr>
      <w:rFonts w:cs="Times New Roman"/>
      <w:sz w:val="24"/>
      <w:szCs w:val="24"/>
    </w:rPr>
  </w:style>
  <w:style w:type="paragraph" w:customStyle="1" w:styleId="Paragrafobase">
    <w:name w:val="[Paragrafo base]"/>
    <w:basedOn w:val="Standard"/>
    <w:uiPriority w:val="99"/>
    <w:pPr>
      <w:widowControl w:val="0"/>
      <w:autoSpaceDE w:val="0"/>
      <w:autoSpaceDN w:val="0"/>
      <w:adjustRightInd w:val="0"/>
      <w:spacing w:line="288" w:lineRule="auto"/>
      <w:textAlignment w:val="center"/>
    </w:pPr>
    <w:rPr>
      <w:rFonts w:cs="Times New Roman"/>
      <w:color w:val="000000"/>
    </w:rPr>
  </w:style>
  <w:style w:type="character" w:styleId="Fett">
    <w:name w:val="Strong"/>
    <w:basedOn w:val="Absatz-Standardschriftart"/>
    <w:uiPriority w:val="22"/>
    <w:qFormat/>
    <w:rPr>
      <w:rFonts w:cs="Times New Roman"/>
      <w:b/>
      <w:bCs/>
    </w:rPr>
  </w:style>
  <w:style w:type="paragraph" w:customStyle="1" w:styleId="Default">
    <w:name w:val="Default"/>
    <w:uiPriority w:val="99"/>
    <w:pPr>
      <w:autoSpaceDE w:val="0"/>
      <w:autoSpaceDN w:val="0"/>
      <w:adjustRightInd w:val="0"/>
    </w:pPr>
    <w:rPr>
      <w:rFonts w:ascii="Times New Roman" w:hAnsi="Times New Roman" w:cs="Times New Roman"/>
      <w:color w:val="000000"/>
      <w:sz w:val="24"/>
      <w:szCs w:val="24"/>
    </w:rPr>
  </w:style>
  <w:style w:type="character" w:styleId="Hyperlink">
    <w:name w:val="Hyperlink"/>
    <w:basedOn w:val="Absatz-Standardschriftart"/>
    <w:uiPriority w:val="99"/>
    <w:rPr>
      <w:rFonts w:cs="Times New Roman"/>
      <w:color w:val="0000FF"/>
      <w:u w:val="single"/>
    </w:rPr>
  </w:style>
  <w:style w:type="character" w:styleId="Platzhaltertext">
    <w:name w:val="Placeholder Text"/>
    <w:basedOn w:val="Absatz-Standardschriftart"/>
    <w:uiPriority w:val="99"/>
    <w:semiHidden/>
    <w:rPr>
      <w:rFonts w:cs="Times New Roman"/>
      <w:color w:val="808080"/>
    </w:rPr>
  </w:style>
  <w:style w:type="character" w:customStyle="1" w:styleId="tw4winMark">
    <w:name w:val="tw4winMark"/>
    <w:uiPriority w:val="99"/>
    <w:rPr>
      <w:rFonts w:ascii="Courier New" w:hAnsi="Courier New"/>
      <w:vanish/>
      <w:color w:val="800080"/>
      <w:sz w:val="24"/>
      <w:vertAlign w:val="subscript"/>
    </w:rPr>
  </w:style>
  <w:style w:type="character" w:customStyle="1" w:styleId="tw4winError">
    <w:name w:val="tw4winError"/>
    <w:uiPriority w:val="99"/>
    <w:rPr>
      <w:rFonts w:ascii="Courier New" w:hAnsi="Courier New"/>
      <w:color w:val="00FF00"/>
      <w:sz w:val="40"/>
    </w:rPr>
  </w:style>
  <w:style w:type="character" w:customStyle="1" w:styleId="tw4winTerm">
    <w:name w:val="tw4winTerm"/>
    <w:uiPriority w:val="99"/>
    <w:rPr>
      <w:color w:val="0000FF"/>
    </w:rPr>
  </w:style>
  <w:style w:type="character" w:customStyle="1" w:styleId="tw4winPopup">
    <w:name w:val="tw4winPopup"/>
    <w:uiPriority w:val="99"/>
    <w:rPr>
      <w:rFonts w:ascii="Courier New" w:hAnsi="Courier New"/>
      <w:noProof/>
      <w:color w:val="008000"/>
    </w:rPr>
  </w:style>
  <w:style w:type="character" w:customStyle="1" w:styleId="tw4winJump">
    <w:name w:val="tw4winJump"/>
    <w:uiPriority w:val="99"/>
    <w:rPr>
      <w:rFonts w:ascii="Courier New" w:hAnsi="Courier New"/>
      <w:noProof/>
      <w:color w:val="008080"/>
    </w:rPr>
  </w:style>
  <w:style w:type="character" w:customStyle="1" w:styleId="tw4winExternal">
    <w:name w:val="tw4winExternal"/>
    <w:uiPriority w:val="99"/>
    <w:rPr>
      <w:rFonts w:ascii="Courier New" w:hAnsi="Courier New"/>
      <w:noProof/>
      <w:color w:val="808080"/>
    </w:rPr>
  </w:style>
  <w:style w:type="character" w:customStyle="1" w:styleId="tw4winInternal">
    <w:name w:val="tw4winInternal"/>
    <w:uiPriority w:val="99"/>
    <w:rPr>
      <w:rFonts w:ascii="Courier New" w:hAnsi="Courier New"/>
      <w:noProof/>
      <w:color w:val="FF0000"/>
    </w:rPr>
  </w:style>
  <w:style w:type="character" w:customStyle="1" w:styleId="DONOTTRANSLATE">
    <w:name w:val="DO_NOT_TRANSLATE"/>
    <w:uiPriority w:val="99"/>
    <w:rPr>
      <w:rFonts w:ascii="Courier New" w:hAnsi="Courier New"/>
      <w:noProof/>
      <w:color w:val="800000"/>
    </w:rPr>
  </w:style>
  <w:style w:type="character" w:customStyle="1" w:styleId="tlid-translation">
    <w:name w:val="tlid-translation"/>
    <w:basedOn w:val="Absatz-Standardschriftart"/>
    <w:rsid w:val="00BB3272"/>
  </w:style>
  <w:style w:type="character" w:styleId="Kommentarzeichen">
    <w:name w:val="annotation reference"/>
    <w:basedOn w:val="Absatz-Standardschriftart"/>
    <w:uiPriority w:val="99"/>
    <w:semiHidden/>
    <w:unhideWhenUsed/>
    <w:locked/>
    <w:rsid w:val="0098585A"/>
    <w:rPr>
      <w:sz w:val="16"/>
      <w:szCs w:val="16"/>
    </w:rPr>
  </w:style>
  <w:style w:type="paragraph" w:styleId="Kommentartext">
    <w:name w:val="annotation text"/>
    <w:basedOn w:val="Standard"/>
    <w:link w:val="KommentartextZchn"/>
    <w:uiPriority w:val="99"/>
    <w:semiHidden/>
    <w:unhideWhenUsed/>
    <w:locked/>
    <w:rsid w:val="0098585A"/>
    <w:rPr>
      <w:sz w:val="20"/>
      <w:szCs w:val="20"/>
    </w:rPr>
  </w:style>
  <w:style w:type="character" w:customStyle="1" w:styleId="KommentartextZchn">
    <w:name w:val="Kommentartext Zchn"/>
    <w:basedOn w:val="Absatz-Standardschriftart"/>
    <w:link w:val="Kommentartext"/>
    <w:uiPriority w:val="99"/>
    <w:semiHidden/>
    <w:rsid w:val="0098585A"/>
    <w:rPr>
      <w:sz w:val="20"/>
      <w:szCs w:val="20"/>
      <w:lang w:val="de-DE"/>
    </w:rPr>
  </w:style>
  <w:style w:type="paragraph" w:styleId="Kommentarthema">
    <w:name w:val="annotation subject"/>
    <w:basedOn w:val="Kommentartext"/>
    <w:next w:val="Kommentartext"/>
    <w:link w:val="KommentarthemaZchn"/>
    <w:uiPriority w:val="99"/>
    <w:semiHidden/>
    <w:unhideWhenUsed/>
    <w:locked/>
    <w:rsid w:val="0098585A"/>
    <w:rPr>
      <w:b/>
      <w:bCs/>
    </w:rPr>
  </w:style>
  <w:style w:type="character" w:customStyle="1" w:styleId="KommentarthemaZchn">
    <w:name w:val="Kommentarthema Zchn"/>
    <w:basedOn w:val="KommentartextZchn"/>
    <w:link w:val="Kommentarthema"/>
    <w:uiPriority w:val="99"/>
    <w:semiHidden/>
    <w:rsid w:val="0098585A"/>
    <w:rPr>
      <w:b/>
      <w:bCs/>
      <w:sz w:val="20"/>
      <w:szCs w:val="20"/>
      <w:lang w:val="de-DE"/>
    </w:rPr>
  </w:style>
  <w:style w:type="character" w:styleId="BesuchterLink">
    <w:name w:val="FollowedHyperlink"/>
    <w:basedOn w:val="Absatz-Standardschriftart"/>
    <w:uiPriority w:val="99"/>
    <w:semiHidden/>
    <w:unhideWhenUsed/>
    <w:locked/>
    <w:rsid w:val="00EF588C"/>
    <w:rPr>
      <w:color w:val="800080" w:themeColor="followedHyperlink"/>
      <w:u w:val="single"/>
    </w:rPr>
  </w:style>
  <w:style w:type="paragraph" w:styleId="StandardWeb">
    <w:name w:val="Normal (Web)"/>
    <w:basedOn w:val="Standard"/>
    <w:uiPriority w:val="99"/>
    <w:semiHidden/>
    <w:unhideWhenUsed/>
    <w:locked/>
    <w:rsid w:val="00EF588C"/>
    <w:pPr>
      <w:spacing w:before="100" w:beforeAutospacing="1" w:after="100" w:afterAutospacing="1"/>
    </w:pPr>
    <w:rPr>
      <w:rFonts w:ascii="Times New Roman" w:hAnsi="Times New Roman" w:cs="Times New Roman"/>
      <w:lang w:eastAsia="de-DE"/>
    </w:rPr>
  </w:style>
  <w:style w:type="character" w:styleId="NichtaufgelsteErwhnung">
    <w:name w:val="Unresolved Mention"/>
    <w:basedOn w:val="Absatz-Standardschriftart"/>
    <w:uiPriority w:val="99"/>
    <w:semiHidden/>
    <w:unhideWhenUsed/>
    <w:rsid w:val="00ED0B6E"/>
    <w:rPr>
      <w:color w:val="605E5C"/>
      <w:shd w:val="clear" w:color="auto" w:fill="E1DFDD"/>
    </w:rPr>
  </w:style>
  <w:style w:type="paragraph" w:styleId="Listenabsatz">
    <w:name w:val="List Paragraph"/>
    <w:basedOn w:val="Standard"/>
    <w:uiPriority w:val="34"/>
    <w:qFormat/>
    <w:rsid w:val="003E42AD"/>
    <w:pPr>
      <w:ind w:left="720"/>
      <w:contextualSpacing/>
    </w:pPr>
  </w:style>
  <w:style w:type="character" w:styleId="Hervorhebung">
    <w:name w:val="Emphasis"/>
    <w:basedOn w:val="Absatz-Standardschriftart"/>
    <w:uiPriority w:val="20"/>
    <w:qFormat/>
    <w:locked/>
    <w:rsid w:val="00F732D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790146">
      <w:bodyDiv w:val="1"/>
      <w:marLeft w:val="0"/>
      <w:marRight w:val="0"/>
      <w:marTop w:val="0"/>
      <w:marBottom w:val="0"/>
      <w:divBdr>
        <w:top w:val="none" w:sz="0" w:space="0" w:color="auto"/>
        <w:left w:val="none" w:sz="0" w:space="0" w:color="auto"/>
        <w:bottom w:val="none" w:sz="0" w:space="0" w:color="auto"/>
        <w:right w:val="none" w:sz="0" w:space="0" w:color="auto"/>
      </w:divBdr>
    </w:div>
    <w:div w:id="84739526">
      <w:bodyDiv w:val="1"/>
      <w:marLeft w:val="0"/>
      <w:marRight w:val="0"/>
      <w:marTop w:val="0"/>
      <w:marBottom w:val="0"/>
      <w:divBdr>
        <w:top w:val="none" w:sz="0" w:space="0" w:color="auto"/>
        <w:left w:val="none" w:sz="0" w:space="0" w:color="auto"/>
        <w:bottom w:val="none" w:sz="0" w:space="0" w:color="auto"/>
        <w:right w:val="none" w:sz="0" w:space="0" w:color="auto"/>
      </w:divBdr>
    </w:div>
    <w:div w:id="162357564">
      <w:bodyDiv w:val="1"/>
      <w:marLeft w:val="0"/>
      <w:marRight w:val="0"/>
      <w:marTop w:val="0"/>
      <w:marBottom w:val="0"/>
      <w:divBdr>
        <w:top w:val="none" w:sz="0" w:space="0" w:color="auto"/>
        <w:left w:val="none" w:sz="0" w:space="0" w:color="auto"/>
        <w:bottom w:val="none" w:sz="0" w:space="0" w:color="auto"/>
        <w:right w:val="none" w:sz="0" w:space="0" w:color="auto"/>
      </w:divBdr>
    </w:div>
    <w:div w:id="364183960">
      <w:marLeft w:val="0"/>
      <w:marRight w:val="0"/>
      <w:marTop w:val="0"/>
      <w:marBottom w:val="0"/>
      <w:divBdr>
        <w:top w:val="none" w:sz="0" w:space="0" w:color="auto"/>
        <w:left w:val="none" w:sz="0" w:space="0" w:color="auto"/>
        <w:bottom w:val="none" w:sz="0" w:space="0" w:color="auto"/>
        <w:right w:val="none" w:sz="0" w:space="0" w:color="auto"/>
      </w:divBdr>
    </w:div>
    <w:div w:id="364183961">
      <w:marLeft w:val="0"/>
      <w:marRight w:val="0"/>
      <w:marTop w:val="0"/>
      <w:marBottom w:val="0"/>
      <w:divBdr>
        <w:top w:val="none" w:sz="0" w:space="0" w:color="auto"/>
        <w:left w:val="none" w:sz="0" w:space="0" w:color="auto"/>
        <w:bottom w:val="none" w:sz="0" w:space="0" w:color="auto"/>
        <w:right w:val="none" w:sz="0" w:space="0" w:color="auto"/>
      </w:divBdr>
    </w:div>
    <w:div w:id="364183962">
      <w:marLeft w:val="0"/>
      <w:marRight w:val="0"/>
      <w:marTop w:val="0"/>
      <w:marBottom w:val="0"/>
      <w:divBdr>
        <w:top w:val="none" w:sz="0" w:space="0" w:color="auto"/>
        <w:left w:val="none" w:sz="0" w:space="0" w:color="auto"/>
        <w:bottom w:val="none" w:sz="0" w:space="0" w:color="auto"/>
        <w:right w:val="none" w:sz="0" w:space="0" w:color="auto"/>
      </w:divBdr>
    </w:div>
    <w:div w:id="364183963">
      <w:marLeft w:val="0"/>
      <w:marRight w:val="0"/>
      <w:marTop w:val="0"/>
      <w:marBottom w:val="0"/>
      <w:divBdr>
        <w:top w:val="none" w:sz="0" w:space="0" w:color="auto"/>
        <w:left w:val="none" w:sz="0" w:space="0" w:color="auto"/>
        <w:bottom w:val="none" w:sz="0" w:space="0" w:color="auto"/>
        <w:right w:val="none" w:sz="0" w:space="0" w:color="auto"/>
      </w:divBdr>
    </w:div>
    <w:div w:id="1011444458">
      <w:bodyDiv w:val="1"/>
      <w:marLeft w:val="0"/>
      <w:marRight w:val="0"/>
      <w:marTop w:val="0"/>
      <w:marBottom w:val="0"/>
      <w:divBdr>
        <w:top w:val="none" w:sz="0" w:space="0" w:color="auto"/>
        <w:left w:val="none" w:sz="0" w:space="0" w:color="auto"/>
        <w:bottom w:val="none" w:sz="0" w:space="0" w:color="auto"/>
        <w:right w:val="none" w:sz="0" w:space="0" w:color="auto"/>
      </w:divBdr>
    </w:div>
    <w:div w:id="1131243836">
      <w:bodyDiv w:val="1"/>
      <w:marLeft w:val="0"/>
      <w:marRight w:val="0"/>
      <w:marTop w:val="0"/>
      <w:marBottom w:val="0"/>
      <w:divBdr>
        <w:top w:val="none" w:sz="0" w:space="0" w:color="auto"/>
        <w:left w:val="none" w:sz="0" w:space="0" w:color="auto"/>
        <w:bottom w:val="none" w:sz="0" w:space="0" w:color="auto"/>
        <w:right w:val="none" w:sz="0" w:space="0" w:color="auto"/>
      </w:divBdr>
    </w:div>
    <w:div w:id="1138298073">
      <w:bodyDiv w:val="1"/>
      <w:marLeft w:val="0"/>
      <w:marRight w:val="0"/>
      <w:marTop w:val="0"/>
      <w:marBottom w:val="0"/>
      <w:divBdr>
        <w:top w:val="none" w:sz="0" w:space="0" w:color="auto"/>
        <w:left w:val="none" w:sz="0" w:space="0" w:color="auto"/>
        <w:bottom w:val="none" w:sz="0" w:space="0" w:color="auto"/>
        <w:right w:val="none" w:sz="0" w:space="0" w:color="auto"/>
      </w:divBdr>
    </w:div>
    <w:div w:id="1464542925">
      <w:bodyDiv w:val="1"/>
      <w:marLeft w:val="0"/>
      <w:marRight w:val="0"/>
      <w:marTop w:val="0"/>
      <w:marBottom w:val="0"/>
      <w:divBdr>
        <w:top w:val="none" w:sz="0" w:space="0" w:color="auto"/>
        <w:left w:val="none" w:sz="0" w:space="0" w:color="auto"/>
        <w:bottom w:val="none" w:sz="0" w:space="0" w:color="auto"/>
        <w:right w:val="none" w:sz="0" w:space="0" w:color="auto"/>
      </w:divBdr>
    </w:div>
    <w:div w:id="1704742541">
      <w:bodyDiv w:val="1"/>
      <w:marLeft w:val="0"/>
      <w:marRight w:val="0"/>
      <w:marTop w:val="0"/>
      <w:marBottom w:val="0"/>
      <w:divBdr>
        <w:top w:val="none" w:sz="0" w:space="0" w:color="auto"/>
        <w:left w:val="none" w:sz="0" w:space="0" w:color="auto"/>
        <w:bottom w:val="none" w:sz="0" w:space="0" w:color="auto"/>
        <w:right w:val="none" w:sz="0" w:space="0" w:color="auto"/>
      </w:divBdr>
    </w:div>
    <w:div w:id="1741052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inglepairethernet.com" TargetMode="External"/><Relationship Id="rId13" Type="http://schemas.openxmlformats.org/officeDocument/2006/relationships/hyperlink" Target="http://www.epr-online.d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fs@epr-online.de"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h@epr-online.de"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prysmiangroup.com" TargetMode="External"/><Relationship Id="rId4" Type="http://schemas.openxmlformats.org/officeDocument/2006/relationships/settings" Target="settings.xml"/><Relationship Id="rId9" Type="http://schemas.openxmlformats.org/officeDocument/2006/relationships/hyperlink" Target="http://www.prysmiangroup.com"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tif"/><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E61768-3FD0-4916-AA72-FEDA2EBC4C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1190</Words>
  <Characters>8664</Characters>
  <Application>Microsoft Office Word</Application>
  <DocSecurity>0</DocSecurity>
  <Lines>72</Lines>
  <Paragraphs>19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2020-04-20T11:20:00Z</dcterms:created>
  <dcterms:modified xsi:type="dcterms:W3CDTF">2020-04-20T11:53:00Z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